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833" w:rsidRPr="00C66E95" w:rsidRDefault="000F6833" w:rsidP="000F6833">
      <w:pPr>
        <w:autoSpaceDE w:val="0"/>
        <w:autoSpaceDN w:val="0"/>
        <w:adjustRightInd w:val="0"/>
        <w:spacing w:after="0" w:line="240" w:lineRule="auto"/>
        <w:jc w:val="center"/>
        <w:rPr>
          <w:rFonts w:ascii="Times New Roman" w:hAnsi="Times New Roman" w:cs="Times New Roman"/>
          <w:b/>
          <w:sz w:val="24"/>
          <w:szCs w:val="24"/>
        </w:rPr>
      </w:pPr>
    </w:p>
    <w:p w:rsidR="00B4317D" w:rsidRPr="00C66E95" w:rsidRDefault="00B4317D" w:rsidP="00B4317D">
      <w:pPr>
        <w:autoSpaceDE w:val="0"/>
        <w:autoSpaceDN w:val="0"/>
        <w:adjustRightInd w:val="0"/>
        <w:spacing w:after="0" w:line="240" w:lineRule="auto"/>
        <w:rPr>
          <w:rFonts w:ascii="Times New Roman" w:hAnsi="Times New Roman" w:cs="Times New Roman"/>
          <w:b/>
          <w:sz w:val="24"/>
          <w:szCs w:val="24"/>
        </w:rPr>
      </w:pPr>
    </w:p>
    <w:p w:rsidR="00B4317D" w:rsidRPr="00C66E95" w:rsidRDefault="00B4317D" w:rsidP="00B4317D">
      <w:pPr>
        <w:jc w:val="both"/>
        <w:rPr>
          <w:rFonts w:ascii="Times New Roman" w:hAnsi="Times New Roman" w:cs="Times New Roman"/>
          <w:sz w:val="24"/>
          <w:szCs w:val="24"/>
        </w:rPr>
      </w:pPr>
      <w:r w:rsidRPr="00C66E95">
        <w:rPr>
          <w:rFonts w:ascii="Times New Roman" w:hAnsi="Times New Roman" w:cs="Times New Roman"/>
          <w:b/>
          <w:bCs/>
          <w:sz w:val="24"/>
          <w:szCs w:val="24"/>
        </w:rPr>
        <w:t xml:space="preserve">PREFEITURA MUNICIPAL DE SANTA RITA DE JACUTINGA </w:t>
      </w:r>
      <w:r w:rsidRPr="00C66E95">
        <w:rPr>
          <w:rFonts w:ascii="Times New Roman" w:hAnsi="Times New Roman" w:cs="Times New Roman"/>
          <w:sz w:val="24"/>
          <w:szCs w:val="24"/>
        </w:rPr>
        <w:t xml:space="preserve">– Licitação Pregão n° </w:t>
      </w:r>
      <w:r w:rsidR="00990700">
        <w:rPr>
          <w:rFonts w:ascii="Times New Roman" w:hAnsi="Times New Roman" w:cs="Times New Roman"/>
          <w:sz w:val="24"/>
          <w:szCs w:val="24"/>
        </w:rPr>
        <w:t>09/2022</w:t>
      </w:r>
      <w:r w:rsidRPr="00C66E95">
        <w:rPr>
          <w:rFonts w:ascii="Times New Roman" w:hAnsi="Times New Roman" w:cs="Times New Roman"/>
          <w:sz w:val="24"/>
          <w:szCs w:val="24"/>
        </w:rPr>
        <w:t xml:space="preserve"> - A Prefeitura Municipal de Santa Rita de Jacutinga, Estado de Minas Gerais, no uso de suas atribuições legais e nos termos da legislação vigente, torna público</w:t>
      </w:r>
      <w:r w:rsidRPr="00C66E95">
        <w:rPr>
          <w:rFonts w:ascii="Times New Roman" w:hAnsi="Times New Roman" w:cs="Times New Roman"/>
          <w:b/>
          <w:sz w:val="24"/>
          <w:szCs w:val="24"/>
        </w:rPr>
        <w:t xml:space="preserve"> </w:t>
      </w:r>
      <w:r w:rsidRPr="00C66E95">
        <w:rPr>
          <w:rFonts w:ascii="Times New Roman" w:hAnsi="Times New Roman" w:cs="Times New Roman"/>
          <w:sz w:val="24"/>
          <w:szCs w:val="24"/>
        </w:rPr>
        <w:t xml:space="preserve">a </w:t>
      </w:r>
      <w:r w:rsidRPr="00C66E95">
        <w:rPr>
          <w:rFonts w:ascii="Times New Roman" w:hAnsi="Times New Roman" w:cs="Times New Roman"/>
          <w:b/>
          <w:sz w:val="24"/>
          <w:szCs w:val="24"/>
        </w:rPr>
        <w:t>I</w:t>
      </w:r>
      <w:r w:rsidR="00D06A2A">
        <w:rPr>
          <w:rFonts w:ascii="Times New Roman" w:hAnsi="Times New Roman" w:cs="Times New Roman"/>
          <w:b/>
          <w:sz w:val="24"/>
          <w:szCs w:val="24"/>
        </w:rPr>
        <w:t>I</w:t>
      </w:r>
      <w:r w:rsidRPr="00C66E95">
        <w:rPr>
          <w:rFonts w:ascii="Times New Roman" w:hAnsi="Times New Roman" w:cs="Times New Roman"/>
          <w:b/>
          <w:sz w:val="24"/>
          <w:szCs w:val="24"/>
        </w:rPr>
        <w:t xml:space="preserve"> Errata ao Edital Pregão n° </w:t>
      </w:r>
      <w:r w:rsidR="002A7EE7" w:rsidRPr="00C66E95">
        <w:rPr>
          <w:rFonts w:ascii="Times New Roman" w:hAnsi="Times New Roman" w:cs="Times New Roman"/>
          <w:b/>
          <w:sz w:val="24"/>
          <w:szCs w:val="24"/>
        </w:rPr>
        <w:t>0</w:t>
      </w:r>
      <w:r w:rsidR="009105EB" w:rsidRPr="00C66E95">
        <w:rPr>
          <w:rFonts w:ascii="Times New Roman" w:hAnsi="Times New Roman" w:cs="Times New Roman"/>
          <w:b/>
          <w:sz w:val="24"/>
          <w:szCs w:val="24"/>
        </w:rPr>
        <w:t>9</w:t>
      </w:r>
      <w:r w:rsidRPr="00C66E95">
        <w:rPr>
          <w:rFonts w:ascii="Times New Roman" w:hAnsi="Times New Roman" w:cs="Times New Roman"/>
          <w:b/>
          <w:sz w:val="24"/>
          <w:szCs w:val="24"/>
        </w:rPr>
        <w:t>/202</w:t>
      </w:r>
      <w:r w:rsidR="00990700">
        <w:rPr>
          <w:rFonts w:ascii="Times New Roman" w:hAnsi="Times New Roman" w:cs="Times New Roman"/>
          <w:b/>
          <w:sz w:val="24"/>
          <w:szCs w:val="24"/>
        </w:rPr>
        <w:t>2</w:t>
      </w:r>
      <w:r w:rsidRPr="00C66E95">
        <w:rPr>
          <w:rFonts w:ascii="Times New Roman" w:hAnsi="Times New Roman" w:cs="Times New Roman"/>
          <w:sz w:val="24"/>
          <w:szCs w:val="24"/>
        </w:rPr>
        <w:t>.</w:t>
      </w:r>
    </w:p>
    <w:p w:rsidR="00D06A2A" w:rsidRDefault="00B4317D" w:rsidP="00D06A2A">
      <w:pPr>
        <w:jc w:val="both"/>
        <w:rPr>
          <w:rFonts w:ascii="Times New Roman" w:hAnsi="Times New Roman" w:cs="Times New Roman"/>
          <w:b/>
          <w:sz w:val="24"/>
          <w:szCs w:val="24"/>
        </w:rPr>
      </w:pPr>
      <w:r w:rsidRPr="00C66E95">
        <w:rPr>
          <w:rFonts w:ascii="Times New Roman" w:hAnsi="Times New Roman" w:cs="Times New Roman"/>
          <w:b/>
          <w:sz w:val="24"/>
          <w:szCs w:val="24"/>
          <w:u w:val="single"/>
        </w:rPr>
        <w:t>Onde se lê</w:t>
      </w:r>
      <w:r w:rsidR="00D06A2A">
        <w:rPr>
          <w:rFonts w:ascii="Times New Roman" w:hAnsi="Times New Roman" w:cs="Times New Roman"/>
          <w:b/>
          <w:sz w:val="24"/>
          <w:szCs w:val="24"/>
        </w:rPr>
        <w:t xml:space="preserve">: </w:t>
      </w:r>
    </w:p>
    <w:p w:rsidR="009105EB" w:rsidRPr="00C66E95" w:rsidRDefault="009105EB" w:rsidP="000206FA">
      <w:pPr>
        <w:jc w:val="center"/>
        <w:rPr>
          <w:rFonts w:ascii="Times New Roman" w:hAnsi="Times New Roman" w:cs="Times New Roman"/>
          <w:b/>
          <w:sz w:val="24"/>
          <w:szCs w:val="24"/>
        </w:rPr>
      </w:pPr>
      <w:r w:rsidRPr="00C66E95">
        <w:rPr>
          <w:rFonts w:ascii="Times New Roman" w:hAnsi="Times New Roman" w:cs="Times New Roman"/>
          <w:b/>
          <w:sz w:val="24"/>
          <w:szCs w:val="24"/>
        </w:rPr>
        <w:t>ANEXO I</w:t>
      </w:r>
    </w:p>
    <w:p w:rsidR="009105EB" w:rsidRPr="00C66E95" w:rsidRDefault="009105EB" w:rsidP="00C66E95">
      <w:pPr>
        <w:jc w:val="center"/>
        <w:rPr>
          <w:rFonts w:ascii="Times New Roman" w:hAnsi="Times New Roman" w:cs="Times New Roman"/>
          <w:b/>
          <w:sz w:val="24"/>
          <w:szCs w:val="24"/>
        </w:rPr>
      </w:pPr>
      <w:r w:rsidRPr="00C66E95">
        <w:rPr>
          <w:rFonts w:ascii="Times New Roman" w:hAnsi="Times New Roman" w:cs="Times New Roman"/>
          <w:b/>
          <w:sz w:val="24"/>
          <w:szCs w:val="24"/>
        </w:rPr>
        <w:t>TERMO DE REFERÊNCIA E VALOR ESTIMADO</w:t>
      </w:r>
    </w:p>
    <w:p w:rsidR="00C45586" w:rsidRDefault="00990700" w:rsidP="00990700">
      <w:pPr>
        <w:spacing w:before="120" w:after="120"/>
        <w:jc w:val="both"/>
        <w:rPr>
          <w:rFonts w:ascii="Times New Roman" w:hAnsi="Times New Roman"/>
          <w:b/>
          <w:sz w:val="24"/>
        </w:rPr>
      </w:pPr>
      <w:r w:rsidRPr="00772F8B">
        <w:rPr>
          <w:rFonts w:ascii="Times New Roman" w:hAnsi="Times New Roman"/>
          <w:b/>
          <w:sz w:val="24"/>
        </w:rPr>
        <w:t>I</w:t>
      </w:r>
      <w:r>
        <w:rPr>
          <w:rFonts w:ascii="Times New Roman" w:hAnsi="Times New Roman"/>
          <w:b/>
          <w:sz w:val="24"/>
        </w:rPr>
        <w:t>II</w:t>
      </w:r>
      <w:r w:rsidRPr="00772F8B">
        <w:rPr>
          <w:rFonts w:ascii="Times New Roman" w:hAnsi="Times New Roman"/>
          <w:b/>
          <w:sz w:val="24"/>
        </w:rPr>
        <w:t xml:space="preserve"> – DA ESPECIFICAÇÃO DO OBJETO:</w:t>
      </w:r>
    </w:p>
    <w:tbl>
      <w:tblPr>
        <w:tblStyle w:val="Tabelacomgrade"/>
        <w:tblW w:w="9214" w:type="dxa"/>
        <w:tblInd w:w="-459" w:type="dxa"/>
        <w:tblLayout w:type="fixed"/>
        <w:tblLook w:val="04A0"/>
      </w:tblPr>
      <w:tblGrid>
        <w:gridCol w:w="993"/>
        <w:gridCol w:w="3651"/>
        <w:gridCol w:w="709"/>
        <w:gridCol w:w="992"/>
        <w:gridCol w:w="1418"/>
        <w:gridCol w:w="1451"/>
      </w:tblGrid>
      <w:tr w:rsidR="00990700" w:rsidRPr="005078CD" w:rsidTr="00990700">
        <w:tc>
          <w:tcPr>
            <w:tcW w:w="993" w:type="dxa"/>
          </w:tcPr>
          <w:p w:rsidR="00990700" w:rsidRPr="00990700" w:rsidRDefault="00990700" w:rsidP="00245372">
            <w:pPr>
              <w:spacing w:before="120" w:after="120"/>
              <w:jc w:val="both"/>
              <w:rPr>
                <w:rFonts w:ascii="Times New Roman" w:hAnsi="Times New Roman"/>
                <w:sz w:val="24"/>
              </w:rPr>
            </w:pPr>
            <w:r>
              <w:t>N° Item</w:t>
            </w:r>
          </w:p>
        </w:tc>
        <w:tc>
          <w:tcPr>
            <w:tcW w:w="3651" w:type="dxa"/>
          </w:tcPr>
          <w:p w:rsidR="00990700" w:rsidRPr="00990700" w:rsidRDefault="00990700" w:rsidP="00245372">
            <w:pPr>
              <w:spacing w:before="120" w:after="120"/>
              <w:jc w:val="both"/>
              <w:rPr>
                <w:rFonts w:ascii="Times New Roman" w:hAnsi="Times New Roman"/>
                <w:sz w:val="24"/>
              </w:rPr>
            </w:pPr>
            <w:r>
              <w:t>Descrição</w:t>
            </w:r>
          </w:p>
        </w:tc>
        <w:tc>
          <w:tcPr>
            <w:tcW w:w="709" w:type="dxa"/>
          </w:tcPr>
          <w:p w:rsidR="00990700" w:rsidRPr="00990700" w:rsidRDefault="00990700" w:rsidP="00245372">
            <w:pPr>
              <w:spacing w:before="120" w:after="120"/>
              <w:jc w:val="both"/>
              <w:rPr>
                <w:rFonts w:ascii="Times New Roman" w:hAnsi="Times New Roman"/>
                <w:sz w:val="24"/>
              </w:rPr>
            </w:pPr>
            <w:r>
              <w:t>Und.</w:t>
            </w:r>
          </w:p>
        </w:tc>
        <w:tc>
          <w:tcPr>
            <w:tcW w:w="992" w:type="dxa"/>
          </w:tcPr>
          <w:p w:rsidR="00990700" w:rsidRPr="00990700" w:rsidRDefault="00990700" w:rsidP="00245372">
            <w:pPr>
              <w:spacing w:before="120" w:after="120"/>
              <w:jc w:val="both"/>
              <w:rPr>
                <w:rFonts w:ascii="Times New Roman" w:hAnsi="Times New Roman"/>
                <w:sz w:val="24"/>
              </w:rPr>
            </w:pPr>
            <w:r>
              <w:t>Qtd.</w:t>
            </w:r>
          </w:p>
        </w:tc>
        <w:tc>
          <w:tcPr>
            <w:tcW w:w="1418" w:type="dxa"/>
          </w:tcPr>
          <w:p w:rsidR="00990700" w:rsidRPr="00990700" w:rsidRDefault="00990700" w:rsidP="00245372">
            <w:pPr>
              <w:spacing w:before="120" w:after="120"/>
              <w:jc w:val="both"/>
              <w:rPr>
                <w:rFonts w:ascii="Times New Roman" w:hAnsi="Times New Roman"/>
                <w:sz w:val="24"/>
              </w:rPr>
            </w:pPr>
            <w:r>
              <w:t>Vlr. Unit.</w:t>
            </w:r>
          </w:p>
        </w:tc>
        <w:tc>
          <w:tcPr>
            <w:tcW w:w="1451" w:type="dxa"/>
          </w:tcPr>
          <w:p w:rsidR="00990700" w:rsidRPr="00990700" w:rsidRDefault="00990700" w:rsidP="00245372">
            <w:pPr>
              <w:spacing w:before="120" w:after="120"/>
              <w:jc w:val="both"/>
              <w:rPr>
                <w:rFonts w:ascii="Times New Roman" w:hAnsi="Times New Roman"/>
                <w:sz w:val="24"/>
              </w:rPr>
            </w:pPr>
            <w:r>
              <w:t>Vlr. Tot.</w:t>
            </w:r>
          </w:p>
        </w:tc>
      </w:tr>
      <w:tr w:rsidR="00990700" w:rsidRPr="005078CD" w:rsidTr="00990700">
        <w:tc>
          <w:tcPr>
            <w:tcW w:w="993" w:type="dxa"/>
            <w:vAlign w:val="center"/>
          </w:tcPr>
          <w:p w:rsidR="00990700" w:rsidRPr="00464ABE" w:rsidRDefault="00990700" w:rsidP="00990700">
            <w:pPr>
              <w:jc w:val="center"/>
            </w:pPr>
            <w:r>
              <w:t>0022</w:t>
            </w:r>
          </w:p>
        </w:tc>
        <w:tc>
          <w:tcPr>
            <w:tcW w:w="3651" w:type="dxa"/>
            <w:vAlign w:val="center"/>
          </w:tcPr>
          <w:p w:rsidR="00990700" w:rsidRDefault="00990700" w:rsidP="00990700">
            <w:pPr>
              <w:jc w:val="center"/>
            </w:pPr>
            <w:r>
              <w:t>DEA desfibrilador externo automático. - Modo Médico ECG Oxímetria Case para transporte Dimensão: 30x26x16 cm (AxLxC).</w:t>
            </w:r>
          </w:p>
        </w:tc>
        <w:tc>
          <w:tcPr>
            <w:tcW w:w="709" w:type="dxa"/>
            <w:vAlign w:val="center"/>
          </w:tcPr>
          <w:p w:rsidR="00990700" w:rsidRPr="00464ABE" w:rsidRDefault="00990700" w:rsidP="00990700">
            <w:pPr>
              <w:jc w:val="center"/>
            </w:pPr>
            <w:r>
              <w:t>UN</w:t>
            </w:r>
          </w:p>
        </w:tc>
        <w:tc>
          <w:tcPr>
            <w:tcW w:w="992" w:type="dxa"/>
            <w:vAlign w:val="center"/>
          </w:tcPr>
          <w:p w:rsidR="00990700" w:rsidRDefault="00C45586" w:rsidP="00990700">
            <w:pPr>
              <w:jc w:val="center"/>
            </w:pPr>
            <w:r>
              <w:t>1,0000</w:t>
            </w:r>
          </w:p>
        </w:tc>
        <w:tc>
          <w:tcPr>
            <w:tcW w:w="1418" w:type="dxa"/>
            <w:vAlign w:val="center"/>
          </w:tcPr>
          <w:p w:rsidR="00990700" w:rsidRPr="00464ABE" w:rsidRDefault="00C45586" w:rsidP="00990700">
            <w:pPr>
              <w:jc w:val="center"/>
            </w:pPr>
            <w:r>
              <w:t>16,3690</w:t>
            </w:r>
          </w:p>
        </w:tc>
        <w:tc>
          <w:tcPr>
            <w:tcW w:w="1451" w:type="dxa"/>
            <w:vAlign w:val="center"/>
          </w:tcPr>
          <w:p w:rsidR="00990700" w:rsidRDefault="00C45586" w:rsidP="00990700">
            <w:pPr>
              <w:jc w:val="center"/>
            </w:pPr>
            <w:r>
              <w:t>16,37</w:t>
            </w:r>
          </w:p>
        </w:tc>
      </w:tr>
      <w:tr w:rsidR="000206FA" w:rsidRPr="005078CD" w:rsidTr="00990700">
        <w:tc>
          <w:tcPr>
            <w:tcW w:w="993" w:type="dxa"/>
            <w:vAlign w:val="center"/>
          </w:tcPr>
          <w:p w:rsidR="000206FA" w:rsidRDefault="007411D7" w:rsidP="00990700">
            <w:pPr>
              <w:jc w:val="center"/>
            </w:pPr>
            <w:r>
              <w:t>0</w:t>
            </w:r>
            <w:r w:rsidR="000206FA">
              <w:t>027</w:t>
            </w:r>
          </w:p>
        </w:tc>
        <w:tc>
          <w:tcPr>
            <w:tcW w:w="3651" w:type="dxa"/>
            <w:vAlign w:val="center"/>
          </w:tcPr>
          <w:p w:rsidR="000206FA" w:rsidRDefault="000206FA" w:rsidP="00990700">
            <w:pPr>
              <w:jc w:val="center"/>
            </w:pPr>
            <w:r w:rsidRPr="00E60E86">
              <w:rPr>
                <w:rFonts w:ascii="Times New Roman" w:hAnsi="Times New Roman" w:cs="Times New Roman"/>
              </w:rPr>
              <w:t xml:space="preserve">Monitor cardíaco - projeto ergonómico, portátil, conveniente para o uso 12 "TFT display, configurável até 8 formas de onda, permite a máxima visibilidade dos dados para os parâmetros mais críticos Unique digital SpO2 tecnologia pode funcionar com precisão durante o movimento e baixa perfusão Anti-AC &amp; alta frequência eletrocirúrgicos e interferência do desfibrilador Layout de tela rica, padrão, grande fonte, gráfico de tendência, OxyCRG, ECG chumbo completo e outros Armazenamento de dados forte: 720 horas tendências, 10000 grupo NIBP, 1024 alarmes eventos St análise, análise de arritmia, análise de marca-passo, análise de drogas e cálculo Alarme audível e Visual disponível, ajustável Função de gerenciamento de informações do paciente Função de software poderosa para suportar o uso em UTI neonatal, UCI, ou, UTI ou quarto paciente normal Atualização de software opcional baseada em USB Rede com fio/wireless com sistema de monitoramento central, até 64 leitos </w:t>
            </w:r>
            <w:r w:rsidRPr="00E60E86">
              <w:rPr>
                <w:rFonts w:ascii="Times New Roman" w:hAnsi="Times New Roman" w:cs="Times New Roman"/>
              </w:rPr>
              <w:lastRenderedPageBreak/>
              <w:t>em um grupo Gravador térmico de 3 traços embutido para impressão de dados em tempo real e histórico Multi-language ou seja, inglês, espanhol, Turco. Super longa vida bateria de lítio recarregável upto 4 horas de tempo de trabalho Apropriado para pacientes adultos, pediátricos e de néon Configuração padrão: ECG, NIBP, SpO2, Temp, resp, fotorreceptor, bateria de lítio recarregável Opcional: Temp duplo Dual IBP EtCO2 (transmissão lateral) gravador térmico Montagem de parede Carrinho Especificação para o monitor paciente</w:t>
            </w:r>
            <w:r>
              <w:rPr>
                <w:rFonts w:ascii="Times New Roman" w:hAnsi="Times New Roman" w:cs="Times New Roman"/>
              </w:rPr>
              <w:t>.</w:t>
            </w:r>
          </w:p>
        </w:tc>
        <w:tc>
          <w:tcPr>
            <w:tcW w:w="709" w:type="dxa"/>
            <w:vAlign w:val="center"/>
          </w:tcPr>
          <w:p w:rsidR="000206FA" w:rsidRDefault="000206FA" w:rsidP="00990700">
            <w:pPr>
              <w:jc w:val="center"/>
            </w:pPr>
            <w:r>
              <w:lastRenderedPageBreak/>
              <w:t>UN</w:t>
            </w:r>
          </w:p>
        </w:tc>
        <w:tc>
          <w:tcPr>
            <w:tcW w:w="992" w:type="dxa"/>
            <w:vAlign w:val="center"/>
          </w:tcPr>
          <w:p w:rsidR="000206FA" w:rsidRDefault="000206FA" w:rsidP="00990700">
            <w:pPr>
              <w:jc w:val="center"/>
            </w:pPr>
            <w:r>
              <w:t>1,0000</w:t>
            </w:r>
          </w:p>
        </w:tc>
        <w:tc>
          <w:tcPr>
            <w:tcW w:w="1418" w:type="dxa"/>
            <w:vAlign w:val="center"/>
          </w:tcPr>
          <w:p w:rsidR="000206FA" w:rsidRDefault="000206FA" w:rsidP="00990700">
            <w:pPr>
              <w:jc w:val="center"/>
            </w:pPr>
            <w:r w:rsidRPr="00E60E86">
              <w:rPr>
                <w:rFonts w:ascii="Times New Roman" w:hAnsi="Times New Roman" w:cs="Times New Roman"/>
              </w:rPr>
              <w:t>21.600,0000</w:t>
            </w:r>
          </w:p>
        </w:tc>
        <w:tc>
          <w:tcPr>
            <w:tcW w:w="1451" w:type="dxa"/>
            <w:vAlign w:val="center"/>
          </w:tcPr>
          <w:p w:rsidR="000206FA" w:rsidRDefault="000206FA" w:rsidP="00990700">
            <w:pPr>
              <w:jc w:val="center"/>
            </w:pPr>
            <w:r w:rsidRPr="00E60E86">
              <w:rPr>
                <w:rFonts w:ascii="Times New Roman" w:hAnsi="Times New Roman" w:cs="Times New Roman"/>
              </w:rPr>
              <w:t>21.600,0000</w:t>
            </w:r>
          </w:p>
        </w:tc>
      </w:tr>
    </w:tbl>
    <w:p w:rsidR="002A7EE7" w:rsidRPr="00C45586" w:rsidRDefault="00C45586" w:rsidP="00C45586">
      <w:pPr>
        <w:autoSpaceDE w:val="0"/>
        <w:autoSpaceDN w:val="0"/>
        <w:adjustRightInd w:val="0"/>
        <w:spacing w:after="0" w:line="240" w:lineRule="auto"/>
        <w:jc w:val="right"/>
        <w:rPr>
          <w:rFonts w:ascii="Times New Roman" w:hAnsi="Times New Roman" w:cs="Times New Roman"/>
          <w:b/>
          <w:sz w:val="28"/>
          <w:szCs w:val="28"/>
        </w:rPr>
      </w:pPr>
      <w:r w:rsidRPr="00C45586">
        <w:rPr>
          <w:b/>
          <w:sz w:val="28"/>
          <w:szCs w:val="28"/>
        </w:rPr>
        <w:lastRenderedPageBreak/>
        <w:t>Total Geral ==&gt; 69.016,42</w:t>
      </w:r>
    </w:p>
    <w:p w:rsidR="00C45586" w:rsidRDefault="00C45586" w:rsidP="002A7EE7">
      <w:pPr>
        <w:autoSpaceDE w:val="0"/>
        <w:autoSpaceDN w:val="0"/>
        <w:adjustRightInd w:val="0"/>
        <w:spacing w:after="0" w:line="240" w:lineRule="auto"/>
        <w:rPr>
          <w:rFonts w:ascii="Times New Roman" w:hAnsi="Times New Roman" w:cs="Times New Roman"/>
          <w:b/>
          <w:sz w:val="24"/>
          <w:szCs w:val="24"/>
          <w:u w:val="single"/>
        </w:rPr>
      </w:pPr>
    </w:p>
    <w:p w:rsidR="002A7EE7" w:rsidRPr="00C66E95" w:rsidRDefault="002A7EE7" w:rsidP="002A7EE7">
      <w:pPr>
        <w:autoSpaceDE w:val="0"/>
        <w:autoSpaceDN w:val="0"/>
        <w:adjustRightInd w:val="0"/>
        <w:spacing w:after="0" w:line="240" w:lineRule="auto"/>
        <w:rPr>
          <w:rFonts w:ascii="Times New Roman" w:hAnsi="Times New Roman" w:cs="Times New Roman"/>
          <w:b/>
          <w:sz w:val="24"/>
          <w:szCs w:val="24"/>
        </w:rPr>
      </w:pPr>
      <w:r w:rsidRPr="00C66E95">
        <w:rPr>
          <w:rFonts w:ascii="Times New Roman" w:hAnsi="Times New Roman" w:cs="Times New Roman"/>
          <w:b/>
          <w:sz w:val="24"/>
          <w:szCs w:val="24"/>
          <w:u w:val="single"/>
        </w:rPr>
        <w:t>Leia-se</w:t>
      </w:r>
      <w:r w:rsidRPr="00C66E95">
        <w:rPr>
          <w:rFonts w:ascii="Times New Roman" w:hAnsi="Times New Roman" w:cs="Times New Roman"/>
          <w:b/>
          <w:sz w:val="24"/>
          <w:szCs w:val="24"/>
        </w:rPr>
        <w:t>:</w:t>
      </w:r>
    </w:p>
    <w:p w:rsidR="00C66E95" w:rsidRPr="00C66E95" w:rsidRDefault="00C66E95" w:rsidP="002A7EE7">
      <w:pPr>
        <w:autoSpaceDE w:val="0"/>
        <w:autoSpaceDN w:val="0"/>
        <w:adjustRightInd w:val="0"/>
        <w:spacing w:after="0" w:line="240" w:lineRule="auto"/>
        <w:rPr>
          <w:rFonts w:ascii="Times New Roman" w:hAnsi="Times New Roman" w:cs="Times New Roman"/>
          <w:b/>
          <w:sz w:val="24"/>
          <w:szCs w:val="24"/>
        </w:rPr>
      </w:pPr>
    </w:p>
    <w:p w:rsidR="00C45586" w:rsidRPr="00C66E95" w:rsidRDefault="00C45586" w:rsidP="00C45586">
      <w:pPr>
        <w:jc w:val="center"/>
        <w:rPr>
          <w:rFonts w:ascii="Times New Roman" w:hAnsi="Times New Roman" w:cs="Times New Roman"/>
          <w:b/>
          <w:sz w:val="24"/>
          <w:szCs w:val="24"/>
        </w:rPr>
      </w:pPr>
    </w:p>
    <w:p w:rsidR="00C45586" w:rsidRPr="00C66E95" w:rsidRDefault="00C45586" w:rsidP="00C45586">
      <w:pPr>
        <w:jc w:val="center"/>
        <w:rPr>
          <w:rFonts w:ascii="Times New Roman" w:hAnsi="Times New Roman" w:cs="Times New Roman"/>
          <w:b/>
          <w:sz w:val="24"/>
          <w:szCs w:val="24"/>
        </w:rPr>
      </w:pPr>
      <w:r w:rsidRPr="00C66E95">
        <w:rPr>
          <w:rFonts w:ascii="Times New Roman" w:hAnsi="Times New Roman" w:cs="Times New Roman"/>
          <w:b/>
          <w:sz w:val="24"/>
          <w:szCs w:val="24"/>
        </w:rPr>
        <w:t>ANEXO I</w:t>
      </w:r>
    </w:p>
    <w:p w:rsidR="00C45586" w:rsidRPr="00C66E95" w:rsidRDefault="00C45586" w:rsidP="00C45586">
      <w:pPr>
        <w:jc w:val="center"/>
        <w:rPr>
          <w:rFonts w:ascii="Times New Roman" w:hAnsi="Times New Roman" w:cs="Times New Roman"/>
          <w:b/>
          <w:sz w:val="24"/>
          <w:szCs w:val="24"/>
        </w:rPr>
      </w:pPr>
      <w:r w:rsidRPr="00C66E95">
        <w:rPr>
          <w:rFonts w:ascii="Times New Roman" w:hAnsi="Times New Roman" w:cs="Times New Roman"/>
          <w:b/>
          <w:sz w:val="24"/>
          <w:szCs w:val="24"/>
        </w:rPr>
        <w:t>TERMO DE REFERÊNCIA E VALOR ESTIMADO</w:t>
      </w:r>
    </w:p>
    <w:p w:rsidR="00C45586" w:rsidRDefault="00C45586" w:rsidP="00C45586">
      <w:pPr>
        <w:spacing w:before="120" w:after="120"/>
        <w:jc w:val="both"/>
        <w:rPr>
          <w:rFonts w:ascii="Times New Roman" w:hAnsi="Times New Roman"/>
          <w:b/>
          <w:sz w:val="24"/>
        </w:rPr>
      </w:pPr>
      <w:r w:rsidRPr="00772F8B">
        <w:rPr>
          <w:rFonts w:ascii="Times New Roman" w:hAnsi="Times New Roman"/>
          <w:b/>
          <w:sz w:val="24"/>
        </w:rPr>
        <w:t>I</w:t>
      </w:r>
      <w:r>
        <w:rPr>
          <w:rFonts w:ascii="Times New Roman" w:hAnsi="Times New Roman"/>
          <w:b/>
          <w:sz w:val="24"/>
        </w:rPr>
        <w:t>II</w:t>
      </w:r>
      <w:r w:rsidRPr="00772F8B">
        <w:rPr>
          <w:rFonts w:ascii="Times New Roman" w:hAnsi="Times New Roman"/>
          <w:b/>
          <w:sz w:val="24"/>
        </w:rPr>
        <w:t xml:space="preserve"> – DA ESPECIFICAÇÃO DO OBJETO:</w:t>
      </w:r>
    </w:p>
    <w:tbl>
      <w:tblPr>
        <w:tblStyle w:val="Tabelacomgrade"/>
        <w:tblW w:w="9214" w:type="dxa"/>
        <w:tblInd w:w="-459" w:type="dxa"/>
        <w:tblLayout w:type="fixed"/>
        <w:tblLook w:val="04A0"/>
      </w:tblPr>
      <w:tblGrid>
        <w:gridCol w:w="993"/>
        <w:gridCol w:w="3651"/>
        <w:gridCol w:w="709"/>
        <w:gridCol w:w="992"/>
        <w:gridCol w:w="1418"/>
        <w:gridCol w:w="1451"/>
      </w:tblGrid>
      <w:tr w:rsidR="00C45586" w:rsidRPr="005078CD" w:rsidTr="00245372">
        <w:tc>
          <w:tcPr>
            <w:tcW w:w="993" w:type="dxa"/>
          </w:tcPr>
          <w:p w:rsidR="00C45586" w:rsidRPr="00990700" w:rsidRDefault="00C45586" w:rsidP="00245372">
            <w:pPr>
              <w:spacing w:before="120" w:after="120"/>
              <w:jc w:val="both"/>
              <w:rPr>
                <w:rFonts w:ascii="Times New Roman" w:hAnsi="Times New Roman"/>
                <w:sz w:val="24"/>
              </w:rPr>
            </w:pPr>
            <w:r>
              <w:t>N° Item</w:t>
            </w:r>
          </w:p>
        </w:tc>
        <w:tc>
          <w:tcPr>
            <w:tcW w:w="3651" w:type="dxa"/>
          </w:tcPr>
          <w:p w:rsidR="00C45586" w:rsidRPr="00990700" w:rsidRDefault="00C45586" w:rsidP="00245372">
            <w:pPr>
              <w:spacing w:before="120" w:after="120"/>
              <w:jc w:val="both"/>
              <w:rPr>
                <w:rFonts w:ascii="Times New Roman" w:hAnsi="Times New Roman"/>
                <w:sz w:val="24"/>
              </w:rPr>
            </w:pPr>
            <w:r>
              <w:t>Descrição</w:t>
            </w:r>
          </w:p>
        </w:tc>
        <w:tc>
          <w:tcPr>
            <w:tcW w:w="709" w:type="dxa"/>
          </w:tcPr>
          <w:p w:rsidR="00C45586" w:rsidRPr="00990700" w:rsidRDefault="00C45586" w:rsidP="00245372">
            <w:pPr>
              <w:spacing w:before="120" w:after="120"/>
              <w:jc w:val="both"/>
              <w:rPr>
                <w:rFonts w:ascii="Times New Roman" w:hAnsi="Times New Roman"/>
                <w:sz w:val="24"/>
              </w:rPr>
            </w:pPr>
            <w:r>
              <w:t>Und.</w:t>
            </w:r>
          </w:p>
        </w:tc>
        <w:tc>
          <w:tcPr>
            <w:tcW w:w="992" w:type="dxa"/>
          </w:tcPr>
          <w:p w:rsidR="00C45586" w:rsidRPr="00990700" w:rsidRDefault="00C45586" w:rsidP="00245372">
            <w:pPr>
              <w:spacing w:before="120" w:after="120"/>
              <w:jc w:val="both"/>
              <w:rPr>
                <w:rFonts w:ascii="Times New Roman" w:hAnsi="Times New Roman"/>
                <w:sz w:val="24"/>
              </w:rPr>
            </w:pPr>
            <w:r>
              <w:t>Qtd.</w:t>
            </w:r>
          </w:p>
        </w:tc>
        <w:tc>
          <w:tcPr>
            <w:tcW w:w="1418" w:type="dxa"/>
          </w:tcPr>
          <w:p w:rsidR="00C45586" w:rsidRPr="00990700" w:rsidRDefault="00C45586" w:rsidP="00245372">
            <w:pPr>
              <w:spacing w:before="120" w:after="120"/>
              <w:jc w:val="both"/>
              <w:rPr>
                <w:rFonts w:ascii="Times New Roman" w:hAnsi="Times New Roman"/>
                <w:sz w:val="24"/>
              </w:rPr>
            </w:pPr>
            <w:r>
              <w:t>Vlr. Unit.</w:t>
            </w:r>
          </w:p>
        </w:tc>
        <w:tc>
          <w:tcPr>
            <w:tcW w:w="1451" w:type="dxa"/>
          </w:tcPr>
          <w:p w:rsidR="00C45586" w:rsidRPr="00990700" w:rsidRDefault="00C45586" w:rsidP="00245372">
            <w:pPr>
              <w:spacing w:before="120" w:after="120"/>
              <w:jc w:val="both"/>
              <w:rPr>
                <w:rFonts w:ascii="Times New Roman" w:hAnsi="Times New Roman"/>
                <w:sz w:val="24"/>
              </w:rPr>
            </w:pPr>
            <w:r>
              <w:t>Vlr. Tot.</w:t>
            </w:r>
          </w:p>
        </w:tc>
      </w:tr>
      <w:tr w:rsidR="00C45586" w:rsidRPr="005078CD" w:rsidTr="00245372">
        <w:tc>
          <w:tcPr>
            <w:tcW w:w="993" w:type="dxa"/>
            <w:vAlign w:val="center"/>
          </w:tcPr>
          <w:p w:rsidR="00C45586" w:rsidRPr="00464ABE" w:rsidRDefault="00C45586" w:rsidP="00245372">
            <w:pPr>
              <w:jc w:val="center"/>
            </w:pPr>
            <w:r>
              <w:t>0022</w:t>
            </w:r>
          </w:p>
        </w:tc>
        <w:tc>
          <w:tcPr>
            <w:tcW w:w="3651" w:type="dxa"/>
            <w:vAlign w:val="center"/>
          </w:tcPr>
          <w:p w:rsidR="00C45586" w:rsidRDefault="000206FA" w:rsidP="00F167A8">
            <w:pPr>
              <w:jc w:val="both"/>
            </w:pPr>
            <w:r>
              <w:t xml:space="preserve">DESFIBRILADOR EXTERNO AUTOMÁTICO (DEA), EQUIPAMENTO PORTÁTIL, ADAPTÁVEL A PACIENTES ADULTOS E PEDIÁTRICOS, COM ONDA BIFÁSICA. ORIENTAÇÕES E COMANDOS EM TEMPO REAL POR VOZ E VISUAIS EXIBIDO NO EQUIPAMENTO. PESO MÁXIMO DE 2 KG COM BATERIA E TODOS OS ACESSÓRIOS. - DEVE PERMITIR ANÁLISE AUTOMÁTICA DO ECG E GRAVAÇÃO DOS EVENTOS, INCLUSIVE DE AUTO-TESTES AUTOMÁTICOS. CARGA ADULTA COM ESCALA DE ATÉ 200 JOULES E 50 JOULES PARA PEDIÁTRICA. TEMPO DE CARGA PARA 150J MENOR QUE 4 SEGUNDOS. ALIMENTAÇÃO: BATERIA COM </w:t>
            </w:r>
            <w:r>
              <w:lastRenderedPageBreak/>
              <w:t>AUTONOMIA RECARREGÁVEL DE NO MÍNIMA DE 300 CHOQUES. INDICAÇÃO O NÍVEL DE BATERIA E PERMITIR A SELEÇÃO DE CARGA. GRAU DE PROTEÇÃO MÍNIMA DE IP55. ACESSÓRIOS: 01 JOGO DE PÁS ADESIVAS ADULTAS COM VALIDADE NO ATO DA ENTREGA DE NO MÍNIMO 02 ANOS, BATERIA COM AUTONOMIA MÍNIMA DE 200 CHOQUES SEM A NECESSIDADE DE TROCA OU RECARGA, BOLSA DE PROTEÇÃO E TRANSPORTE DO EQUIPAMENTO. EQUIPAMENTO COM REGISTRO NA ANVISA E GARANTIA MÍNIMA DE 12 MESES.</w:t>
            </w:r>
          </w:p>
        </w:tc>
        <w:tc>
          <w:tcPr>
            <w:tcW w:w="709" w:type="dxa"/>
            <w:vAlign w:val="center"/>
          </w:tcPr>
          <w:p w:rsidR="00C45586" w:rsidRPr="00464ABE" w:rsidRDefault="00C45586" w:rsidP="00245372">
            <w:pPr>
              <w:jc w:val="center"/>
            </w:pPr>
            <w:r>
              <w:lastRenderedPageBreak/>
              <w:t>UN</w:t>
            </w:r>
          </w:p>
        </w:tc>
        <w:tc>
          <w:tcPr>
            <w:tcW w:w="992" w:type="dxa"/>
            <w:vAlign w:val="center"/>
          </w:tcPr>
          <w:p w:rsidR="00C45586" w:rsidRDefault="00C45586" w:rsidP="00245372">
            <w:pPr>
              <w:jc w:val="center"/>
            </w:pPr>
            <w:r>
              <w:t>1,0000</w:t>
            </w:r>
          </w:p>
        </w:tc>
        <w:tc>
          <w:tcPr>
            <w:tcW w:w="1418" w:type="dxa"/>
            <w:vAlign w:val="center"/>
          </w:tcPr>
          <w:p w:rsidR="00C45586" w:rsidRPr="00464ABE" w:rsidRDefault="00C45586" w:rsidP="00245372">
            <w:pPr>
              <w:jc w:val="center"/>
            </w:pPr>
            <w:r>
              <w:t xml:space="preserve"> 16.369,00</w:t>
            </w:r>
          </w:p>
        </w:tc>
        <w:tc>
          <w:tcPr>
            <w:tcW w:w="1451" w:type="dxa"/>
            <w:vAlign w:val="center"/>
          </w:tcPr>
          <w:p w:rsidR="00C45586" w:rsidRDefault="00C45586" w:rsidP="00245372">
            <w:pPr>
              <w:jc w:val="center"/>
            </w:pPr>
            <w:r>
              <w:t xml:space="preserve"> 16.369,00</w:t>
            </w:r>
          </w:p>
        </w:tc>
      </w:tr>
      <w:tr w:rsidR="000206FA" w:rsidRPr="005078CD" w:rsidTr="00245372">
        <w:tc>
          <w:tcPr>
            <w:tcW w:w="993" w:type="dxa"/>
            <w:vAlign w:val="center"/>
          </w:tcPr>
          <w:p w:rsidR="000206FA" w:rsidRDefault="000206FA" w:rsidP="00245372">
            <w:pPr>
              <w:jc w:val="center"/>
            </w:pPr>
            <w:r>
              <w:lastRenderedPageBreak/>
              <w:t>0027</w:t>
            </w:r>
          </w:p>
        </w:tc>
        <w:tc>
          <w:tcPr>
            <w:tcW w:w="3651" w:type="dxa"/>
            <w:vAlign w:val="center"/>
          </w:tcPr>
          <w:p w:rsidR="00F167A8" w:rsidRPr="00F167A8" w:rsidRDefault="00F167A8" w:rsidP="00F167A8">
            <w:pPr>
              <w:jc w:val="both"/>
              <w:rPr>
                <w:rFonts w:cstheme="minorHAnsi"/>
              </w:rPr>
            </w:pPr>
            <w:r w:rsidRPr="00F167A8">
              <w:rPr>
                <w:rFonts w:cstheme="minorHAnsi"/>
              </w:rPr>
              <w:t xml:space="preserve">“Monitor Multiparâmetros Características técnicas mínimas: Monitor para monitoração de pacientes adultos, pediátricos e neonatais. Monitor Multiparamétrico pre-configurado com os parâmetros de ECG, Respiração, Temperatura, PNI e SPO2; Deve possuir Visor de cristal líquido colorida (LCD), tamanho de Tela 12 a 15” (Resolução mínima: 800 x 600); pelo menos 12 (Doze) formas de onda; Possibilidade de configuração de diferentes telas, como números grandes, e comunicação com central de monitoramento. Deve possuir memória de armazenamento de tendências gráficas e tabulares para, pelo menos, 120 horas, mínimo de 200 conjuntos de eventos de alarme, 100 conjuntos de medições de PNI e 200 conjuntos de eventos de arritmias, além de possuir memória de eventos de alarmes. Deve possuir alarmes audiovisuais ajustáveis pelo operador com 3 níveis de prioridade de alarme (alta, média e baixa); alarmes visuais e sonoros para os parâmetros medidos (limites máximos </w:t>
            </w:r>
            <w:r w:rsidRPr="00F167A8">
              <w:rPr>
                <w:rFonts w:cstheme="minorHAnsi"/>
              </w:rPr>
              <w:lastRenderedPageBreak/>
              <w:t xml:space="preserve">e mínimos) programáveis pelo operador; Alarmes funcionais (sensor, bateria, falta de energia elétrica, entre outros); Deve possuir menus para configuração e ajuste de seus diversos parâmetros, navegáveis através de um seletor giratório ou tela touch screen; Deve permitir a conexão em rede através do protocolo TCP/IP com conector do tipo RJ 45; Funcionamento em rede elétrica 110/220V bivolt automático; Possibilidade de atualização de software sem alteração de hardware, aplicando USB ou Cartão de memória SD; Alimentação á bateria interna por no mínimo 230 minutos e possibilidade futura de autonomia de bateria de 480 minutos; indicação visual no display do equipamento que indique o estado da bateria, bem como se o equipamento está funcionando pela rede elétrica ou bateria. Software de interface na língua portuguesa. Proteção contra descarga e interferência de desfibrilador e bisturi eletrônicos; possibilidade de conexão bidirecional com a Central e comunicação através do protocolo HL7, diretamente no monitor ou através da Central de Monitoração. Possibilidade de inclusão de módulos futuros como Débito Cardíaco (D.C), Capnografia (ETCO2) Sidestream; Pressão Invasiva (PI); Possibilidade, comprovada em manual, de medida de DELTA PP (PPV) AUTOMÁTICO; Interfaces: USB 2 portas, Rede RJ-45; A central deverá possuir registro próprio na ANVISA. Não deve pesar mais que 5 kg; Deve possuir índice de proteção IPX1 ou superior; Deve operar com umidade relativa na faixa de 20 a 90%. Parâmetros que devem acompanhar o monitor: ECG: Deve possuir </w:t>
            </w:r>
            <w:r w:rsidRPr="00F167A8">
              <w:rPr>
                <w:rFonts w:cstheme="minorHAnsi"/>
              </w:rPr>
              <w:lastRenderedPageBreak/>
              <w:t xml:space="preserve">compatibilidade com cabos de 5 vias; Número de derivações: 7 derivações; faixa de frequência cardíaca: 30 a 300 bpm; Possibilidade de exibição de 12 derivações com cabo paciente de 10 vias; Resolução da medida de FC: 1 bpm; Deve permitir a detecção de pulsos de marcapasso; Deve possuir monitorização de segmento ST em todas derivações; Detecção de pelo menos 28 arritmias distintas. Respiração: Método bioimpedância (ou impedância) torácica; Faixa de frequência respiratória 0 a 150 rpm para paciente adulto, pediátrico e neonatal; com visualização da onda de respiração, indicação da FR com detecção e alarme de apnéia, em pacientes adultos/pediátricos/neonatais. Alarmes visuais e sonoros para os parâmetros de FR (limites máximos e mínimos) programáveis pelo usuário. Temperatura cutânea: Deve possuir 02 (dois) canais de temperatura; com faixa de medida de 10 °C a 45 °C; Deve permitir a medida da temperatura por sensor aderido na pele do paciente, ou através de cavidades; Alarmes visuais e sonoros para os parâmetros programáveis pelo operador (limites máximos e mínimos); Pressão Não Invasiva: Deve apresentar os valores de Pressão Arterial Sistólica (PAS), Pressão arterial Diastólica (PAD) e Pressão Arterial Média (PAM); Modos de medida: Manual, Automática e STAT; Faixa de medida total: pelo menos 10 a 290 mmHg; intervalo de medidas: pelo menos de 5 minutos a 2 horas; Deve possuir proteção contra-pressão excessiva para tipo paciente (adulto/pediátrico e neonatal); Oximetria: Visualização da curva Plestimografia; Indicação numérica </w:t>
            </w:r>
            <w:r w:rsidRPr="00F167A8">
              <w:rPr>
                <w:rFonts w:cstheme="minorHAnsi"/>
              </w:rPr>
              <w:lastRenderedPageBreak/>
              <w:t xml:space="preserve">dos valores de saturação e pulso; Indicação numérica ou gráfica do índice de perfusão; Alarmes visuais e sonoros para os parâmetros de SPO2 e FC (limites máximos e mínimos) programáveis pelo operador; Intervalo de medição: 0 a 100%; Faixa de FP: 25 a 300 bpm; DEVE ACOMPANHAR O EQUIPAMENTO os seguintes acessórios: 01 unidade Cabo de ECG 5 vias Adulto 01 unidade de Manguito/Abraçadeira uso Adulto para PNI 01 unidade Mangueira extensão uso Adulto para PNI 01 unidade sensor SPO2 reutilizável Clip Adulto 01 unidade sensor de temperatura de Pele 01 unid. Bateria de lítio. 01 Cabo de energia. 01 Manual operacional do equipamento em português. </w:t>
            </w:r>
          </w:p>
          <w:p w:rsidR="000206FA" w:rsidRDefault="00F167A8" w:rsidP="00F167A8">
            <w:pPr>
              <w:jc w:val="both"/>
            </w:pPr>
            <w:r w:rsidRPr="00F167A8">
              <w:rPr>
                <w:rFonts w:cstheme="minorHAnsi"/>
              </w:rPr>
              <w:t>Documentação: A. Certificação RMS (Registro no Ministério da Saúde) emitida pela ANVISA ou sua publicação no Diário Oficial da União; B. Certificação de conformidade comas Normas: NBR IEC 60601-1, NBR IEC 60601-1-2, NBR IEC 60601-2-49, NBR IEC 60601-2-30, NBR IEC 60601-2-27 e RDC 59 OU RDC 16; C. Conter Declaração de que o produto está coberto por garantia on-site integral do equipamento de 12 meses, para serviços e reposição de peças, prestada diretamente pela empresa ou pela fabricante, através de sua rede de assistência técnica localizada na região do Hospital.”</w:t>
            </w:r>
          </w:p>
        </w:tc>
        <w:tc>
          <w:tcPr>
            <w:tcW w:w="709" w:type="dxa"/>
            <w:vAlign w:val="center"/>
          </w:tcPr>
          <w:p w:rsidR="000206FA" w:rsidRDefault="000206FA" w:rsidP="00245372">
            <w:pPr>
              <w:jc w:val="center"/>
            </w:pPr>
            <w:r>
              <w:lastRenderedPageBreak/>
              <w:t>UN</w:t>
            </w:r>
          </w:p>
        </w:tc>
        <w:tc>
          <w:tcPr>
            <w:tcW w:w="992" w:type="dxa"/>
            <w:vAlign w:val="center"/>
          </w:tcPr>
          <w:p w:rsidR="000206FA" w:rsidRDefault="000206FA" w:rsidP="00245372">
            <w:pPr>
              <w:jc w:val="center"/>
            </w:pPr>
            <w:r>
              <w:t>1,0000</w:t>
            </w:r>
          </w:p>
        </w:tc>
        <w:tc>
          <w:tcPr>
            <w:tcW w:w="1418" w:type="dxa"/>
            <w:vAlign w:val="center"/>
          </w:tcPr>
          <w:p w:rsidR="000206FA" w:rsidRDefault="000206FA" w:rsidP="00245372">
            <w:pPr>
              <w:jc w:val="center"/>
            </w:pPr>
            <w:r w:rsidRPr="00E60E86">
              <w:rPr>
                <w:rFonts w:ascii="Times New Roman" w:hAnsi="Times New Roman" w:cs="Times New Roman"/>
              </w:rPr>
              <w:t>21.600,0000</w:t>
            </w:r>
          </w:p>
        </w:tc>
        <w:tc>
          <w:tcPr>
            <w:tcW w:w="1451" w:type="dxa"/>
            <w:vAlign w:val="center"/>
          </w:tcPr>
          <w:p w:rsidR="000206FA" w:rsidRDefault="000206FA" w:rsidP="00245372">
            <w:pPr>
              <w:jc w:val="center"/>
            </w:pPr>
            <w:r w:rsidRPr="00E60E86">
              <w:rPr>
                <w:rFonts w:ascii="Times New Roman" w:hAnsi="Times New Roman" w:cs="Times New Roman"/>
              </w:rPr>
              <w:t>21.600,0000</w:t>
            </w:r>
          </w:p>
        </w:tc>
      </w:tr>
    </w:tbl>
    <w:p w:rsidR="00C45586" w:rsidRPr="00C66E95" w:rsidRDefault="00C45586" w:rsidP="00C45586">
      <w:pPr>
        <w:jc w:val="right"/>
        <w:rPr>
          <w:rFonts w:ascii="Times New Roman" w:hAnsi="Times New Roman" w:cs="Times New Roman"/>
          <w:b/>
          <w:sz w:val="24"/>
          <w:szCs w:val="24"/>
        </w:rPr>
      </w:pPr>
      <w:r w:rsidRPr="00C45586">
        <w:rPr>
          <w:b/>
          <w:sz w:val="28"/>
          <w:szCs w:val="28"/>
        </w:rPr>
        <w:lastRenderedPageBreak/>
        <w:t xml:space="preserve">Total Geral ==&gt; </w:t>
      </w:r>
      <w:r>
        <w:rPr>
          <w:b/>
          <w:sz w:val="28"/>
          <w:szCs w:val="28"/>
        </w:rPr>
        <w:t>85.369,05</w:t>
      </w:r>
    </w:p>
    <w:p w:rsidR="00C66E95" w:rsidRPr="00C66E95" w:rsidRDefault="00C66E95" w:rsidP="00C66E95">
      <w:pPr>
        <w:rPr>
          <w:rFonts w:ascii="Times New Roman" w:hAnsi="Times New Roman" w:cs="Times New Roman"/>
          <w:b/>
          <w:sz w:val="24"/>
          <w:szCs w:val="24"/>
        </w:rPr>
      </w:pPr>
    </w:p>
    <w:p w:rsidR="002A7EE7" w:rsidRPr="00C66E95" w:rsidRDefault="002A7EE7" w:rsidP="002A7EE7">
      <w:pPr>
        <w:autoSpaceDE w:val="0"/>
        <w:autoSpaceDN w:val="0"/>
        <w:adjustRightInd w:val="0"/>
        <w:spacing w:after="0" w:line="240" w:lineRule="auto"/>
        <w:rPr>
          <w:rFonts w:ascii="Times New Roman" w:hAnsi="Times New Roman" w:cs="Times New Roman"/>
          <w:b/>
          <w:sz w:val="24"/>
          <w:szCs w:val="24"/>
        </w:rPr>
      </w:pPr>
    </w:p>
    <w:p w:rsidR="00D20030" w:rsidRPr="00C66E95" w:rsidRDefault="00D20030" w:rsidP="00D20030">
      <w:pPr>
        <w:autoSpaceDE w:val="0"/>
        <w:autoSpaceDN w:val="0"/>
        <w:adjustRightInd w:val="0"/>
        <w:spacing w:after="0" w:line="240" w:lineRule="auto"/>
        <w:rPr>
          <w:rFonts w:ascii="Times New Roman" w:hAnsi="Times New Roman" w:cs="Times New Roman"/>
          <w:b/>
          <w:sz w:val="24"/>
          <w:szCs w:val="24"/>
        </w:rPr>
      </w:pPr>
    </w:p>
    <w:p w:rsidR="00D20030" w:rsidRPr="00C66E95" w:rsidRDefault="00D20030" w:rsidP="00D20030">
      <w:pPr>
        <w:autoSpaceDE w:val="0"/>
        <w:autoSpaceDN w:val="0"/>
        <w:adjustRightInd w:val="0"/>
        <w:spacing w:after="0" w:line="240" w:lineRule="auto"/>
        <w:rPr>
          <w:rFonts w:ascii="Times New Roman" w:hAnsi="Times New Roman" w:cs="Times New Roman"/>
          <w:b/>
          <w:sz w:val="24"/>
          <w:szCs w:val="24"/>
        </w:rPr>
      </w:pPr>
    </w:p>
    <w:p w:rsidR="00D20030" w:rsidRPr="00C66E95" w:rsidRDefault="00D20030" w:rsidP="002A7EE7">
      <w:pPr>
        <w:autoSpaceDE w:val="0"/>
        <w:autoSpaceDN w:val="0"/>
        <w:adjustRightInd w:val="0"/>
        <w:spacing w:after="0" w:line="240" w:lineRule="auto"/>
        <w:rPr>
          <w:rFonts w:ascii="Times New Roman" w:hAnsi="Times New Roman" w:cs="Times New Roman"/>
          <w:b/>
          <w:sz w:val="24"/>
          <w:szCs w:val="24"/>
        </w:rPr>
      </w:pPr>
    </w:p>
    <w:p w:rsidR="00B16C14" w:rsidRPr="00C66E95" w:rsidRDefault="00B16C14" w:rsidP="00EC7006">
      <w:pPr>
        <w:autoSpaceDE w:val="0"/>
        <w:autoSpaceDN w:val="0"/>
        <w:adjustRightInd w:val="0"/>
        <w:spacing w:after="0" w:line="360" w:lineRule="auto"/>
        <w:jc w:val="both"/>
        <w:rPr>
          <w:rFonts w:ascii="Times New Roman" w:hAnsi="Times New Roman" w:cs="Times New Roman"/>
          <w:b/>
          <w:sz w:val="24"/>
          <w:szCs w:val="24"/>
        </w:rPr>
      </w:pPr>
      <w:r w:rsidRPr="00C66E95">
        <w:rPr>
          <w:rFonts w:ascii="Times New Roman" w:hAnsi="Times New Roman" w:cs="Times New Roman"/>
          <w:sz w:val="24"/>
          <w:szCs w:val="24"/>
        </w:rPr>
        <w:lastRenderedPageBreak/>
        <w:t>A data para realização da sessão pública para recebimento das propostas será no dia</w:t>
      </w:r>
      <w:r w:rsidR="00C66E95">
        <w:rPr>
          <w:rFonts w:ascii="Times New Roman" w:hAnsi="Times New Roman" w:cs="Times New Roman"/>
          <w:sz w:val="24"/>
          <w:szCs w:val="24"/>
        </w:rPr>
        <w:t xml:space="preserve"> </w:t>
      </w:r>
      <w:r w:rsidR="001339AD">
        <w:rPr>
          <w:rFonts w:ascii="Times New Roman" w:hAnsi="Times New Roman" w:cs="Times New Roman"/>
          <w:b/>
          <w:sz w:val="24"/>
          <w:szCs w:val="24"/>
        </w:rPr>
        <w:t>29</w:t>
      </w:r>
      <w:r w:rsidR="00C66E95">
        <w:rPr>
          <w:rFonts w:ascii="Times New Roman" w:hAnsi="Times New Roman" w:cs="Times New Roman"/>
          <w:sz w:val="24"/>
          <w:szCs w:val="24"/>
        </w:rPr>
        <w:t xml:space="preserve"> </w:t>
      </w:r>
      <w:r w:rsidR="00C66E95">
        <w:rPr>
          <w:rFonts w:ascii="Times New Roman" w:hAnsi="Times New Roman" w:cs="Times New Roman"/>
          <w:b/>
          <w:sz w:val="24"/>
          <w:szCs w:val="24"/>
        </w:rPr>
        <w:t xml:space="preserve">DE </w:t>
      </w:r>
      <w:r w:rsidR="00990700">
        <w:rPr>
          <w:rFonts w:ascii="Times New Roman" w:hAnsi="Times New Roman" w:cs="Times New Roman"/>
          <w:b/>
          <w:sz w:val="24"/>
          <w:szCs w:val="24"/>
        </w:rPr>
        <w:t>MARÇO</w:t>
      </w:r>
      <w:r w:rsidR="00C66E95">
        <w:rPr>
          <w:rFonts w:ascii="Times New Roman" w:hAnsi="Times New Roman" w:cs="Times New Roman"/>
          <w:b/>
          <w:sz w:val="24"/>
          <w:szCs w:val="24"/>
        </w:rPr>
        <w:t xml:space="preserve"> DE 202</w:t>
      </w:r>
      <w:r w:rsidR="00990700">
        <w:rPr>
          <w:rFonts w:ascii="Times New Roman" w:hAnsi="Times New Roman" w:cs="Times New Roman"/>
          <w:b/>
          <w:sz w:val="24"/>
          <w:szCs w:val="24"/>
        </w:rPr>
        <w:t>2</w:t>
      </w:r>
      <w:r w:rsidR="00C66E95">
        <w:rPr>
          <w:rFonts w:ascii="Times New Roman" w:hAnsi="Times New Roman" w:cs="Times New Roman"/>
          <w:b/>
          <w:sz w:val="24"/>
          <w:szCs w:val="24"/>
        </w:rPr>
        <w:t>, ÀS 1</w:t>
      </w:r>
      <w:r w:rsidR="00D06A2A">
        <w:rPr>
          <w:rFonts w:ascii="Times New Roman" w:hAnsi="Times New Roman" w:cs="Times New Roman"/>
          <w:b/>
          <w:sz w:val="24"/>
          <w:szCs w:val="24"/>
        </w:rPr>
        <w:t>0</w:t>
      </w:r>
      <w:r w:rsidR="00C66E95">
        <w:rPr>
          <w:rFonts w:ascii="Times New Roman" w:hAnsi="Times New Roman" w:cs="Times New Roman"/>
          <w:b/>
          <w:sz w:val="24"/>
          <w:szCs w:val="24"/>
        </w:rPr>
        <w:t>H (QUATORZE HORAS)</w:t>
      </w:r>
      <w:r w:rsidRPr="00C66E95">
        <w:rPr>
          <w:rFonts w:ascii="Times New Roman" w:hAnsi="Times New Roman" w:cs="Times New Roman"/>
          <w:b/>
          <w:sz w:val="24"/>
          <w:szCs w:val="24"/>
        </w:rPr>
        <w:t xml:space="preserve"> </w:t>
      </w:r>
      <w:r w:rsidRPr="00C66E95">
        <w:rPr>
          <w:rFonts w:ascii="Times New Roman" w:hAnsi="Times New Roman" w:cs="Times New Roman"/>
          <w:sz w:val="24"/>
          <w:szCs w:val="24"/>
        </w:rPr>
        <w:t>no Paço Municipal, na Rua Prefeito Waldomiro Osório Rodrigues, s/n, Cachoeira, Santa Rita de Jacutinga – MG. Maiores informações tel (32) 3291-1680, email: licitacao@srjacutinga.mg.gov.br.</w:t>
      </w:r>
    </w:p>
    <w:sectPr w:rsidR="00B16C14" w:rsidRPr="00C66E95" w:rsidSect="00441307">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AC7" w:rsidRDefault="004B6AC7" w:rsidP="00C8371A">
      <w:pPr>
        <w:spacing w:after="0" w:line="240" w:lineRule="auto"/>
      </w:pPr>
      <w:r>
        <w:separator/>
      </w:r>
    </w:p>
  </w:endnote>
  <w:endnote w:type="continuationSeparator" w:id="1">
    <w:p w:rsidR="004B6AC7" w:rsidRDefault="004B6AC7" w:rsidP="00C837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AC7" w:rsidRDefault="004B6AC7" w:rsidP="00C8371A">
      <w:pPr>
        <w:spacing w:after="0" w:line="240" w:lineRule="auto"/>
      </w:pPr>
      <w:r>
        <w:separator/>
      </w:r>
    </w:p>
  </w:footnote>
  <w:footnote w:type="continuationSeparator" w:id="1">
    <w:p w:rsidR="004B6AC7" w:rsidRDefault="004B6AC7" w:rsidP="00C837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71A" w:rsidRDefault="00C8371A" w:rsidP="00C8371A">
    <w:pPr>
      <w:pStyle w:val="Cabealho"/>
    </w:pPr>
    <w:r>
      <w:rPr>
        <w:rFonts w:ascii="Arial Narrow" w:hAnsi="Arial Narrow"/>
        <w:b/>
        <w:bCs/>
        <w:sz w:val="28"/>
      </w:rPr>
      <w:t xml:space="preserve">                </w:t>
    </w:r>
    <w:r w:rsidR="00F84B2E" w:rsidRPr="00F84B2E">
      <w:rPr>
        <w:noProof/>
        <w:sz w:val="20"/>
      </w:rPr>
      <w:pict>
        <v:shapetype id="_x0000_t202" coordsize="21600,21600" o:spt="202" path="m,l,21600r21600,l21600,xe">
          <v:stroke joinstyle="miter"/>
          <v:path gradientshapeok="t" o:connecttype="rect"/>
        </v:shapetype>
        <v:shape id="_x0000_s1025" type="#_x0000_t202" style="position:absolute;margin-left:0;margin-top:-.55pt;width:88.2pt;height:63.85pt;z-index:251658240;mso-position-horizontal-relative:text;mso-position-vertical-relative:text" filled="f" stroked="f">
          <v:textbox style="mso-next-textbox:#_x0000_s1025">
            <w:txbxContent>
              <w:p w:rsidR="00C8371A" w:rsidRDefault="00C8371A" w:rsidP="00C8371A">
                <w:r>
                  <w:rPr>
                    <w:noProof/>
                    <w:lang w:eastAsia="pt-BR"/>
                  </w:rPr>
                  <w:drawing>
                    <wp:inline distT="0" distB="0" distL="0" distR="0">
                      <wp:extent cx="933450" cy="723900"/>
                      <wp:effectExtent l="19050" t="0" r="0" b="0"/>
                      <wp:docPr id="6" name="Imagem 1" descr="logprefeit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prefeitura1"/>
                              <pic:cNvPicPr>
                                <a:picLocks noChangeAspect="1" noChangeArrowheads="1"/>
                              </pic:cNvPicPr>
                            </pic:nvPicPr>
                            <pic:blipFill>
                              <a:blip r:embed="rId1"/>
                              <a:srcRect/>
                              <a:stretch>
                                <a:fillRect/>
                              </a:stretch>
                            </pic:blipFill>
                            <pic:spPr bwMode="auto">
                              <a:xfrm>
                                <a:off x="0" y="0"/>
                                <a:ext cx="933450" cy="723900"/>
                              </a:xfrm>
                              <a:prstGeom prst="rect">
                                <a:avLst/>
                              </a:prstGeom>
                              <a:noFill/>
                              <a:ln w="9525">
                                <a:noFill/>
                                <a:miter lim="800000"/>
                                <a:headEnd/>
                                <a:tailEnd/>
                              </a:ln>
                            </pic:spPr>
                          </pic:pic>
                        </a:graphicData>
                      </a:graphic>
                    </wp:inline>
                  </w:drawing>
                </w:r>
              </w:p>
            </w:txbxContent>
          </v:textbox>
        </v:shape>
      </w:pict>
    </w:r>
    <w:r>
      <w:t xml:space="preserve">                          </w:t>
    </w:r>
  </w:p>
  <w:p w:rsidR="00C8371A" w:rsidRPr="00C165F3" w:rsidRDefault="00C8371A" w:rsidP="00C8371A">
    <w:pPr>
      <w:pStyle w:val="Cabealho"/>
      <w:spacing w:line="360" w:lineRule="auto"/>
      <w:ind w:left="708"/>
      <w:rPr>
        <w:rFonts w:ascii="Arial" w:eastAsia="MS Mincho" w:hAnsi="Arial" w:cs="Arial"/>
      </w:rPr>
    </w:pPr>
    <w:r>
      <w:rPr>
        <w:rFonts w:ascii="Arial Narrow" w:hAnsi="Arial Narrow"/>
        <w:b/>
        <w:bCs/>
        <w:sz w:val="28"/>
      </w:rPr>
      <w:t xml:space="preserve">                </w:t>
    </w:r>
    <w:r>
      <w:rPr>
        <w:rFonts w:ascii="Arial" w:eastAsia="MS Mincho" w:hAnsi="Arial" w:cs="Arial"/>
        <w:b/>
        <w:bCs/>
        <w:u w:val="single"/>
      </w:rPr>
      <w:t>PREFEITURA MUNICIPAL DE SANTA RITA DE JACUTINGA</w:t>
    </w:r>
    <w:r>
      <w:rPr>
        <w:rFonts w:ascii="Arial" w:hAnsi="Arial" w:cs="Arial"/>
      </w:rPr>
      <w:t xml:space="preserve">                                                                                                                              </w:t>
    </w:r>
    <w:r>
      <w:rPr>
        <w:rFonts w:ascii="Arial" w:hAnsi="Arial" w:cs="Arial"/>
      </w:rPr>
      <w:tab/>
      <w:t xml:space="preserve">              ESTADO DE MINAS GERAIS – CEP: 36135-000</w:t>
    </w:r>
  </w:p>
  <w:p w:rsidR="00C8371A" w:rsidRDefault="00C8371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E7B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B0F1F34"/>
    <w:multiLevelType w:val="multilevel"/>
    <w:tmpl w:val="6A66616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304F7E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60E4CEA"/>
    <w:multiLevelType w:val="multilevel"/>
    <w:tmpl w:val="EC8C45DC"/>
    <w:lvl w:ilvl="0">
      <w:start w:val="1"/>
      <w:numFmt w:val="decimal"/>
      <w:lvlText w:val="%1"/>
      <w:lvlJc w:val="left"/>
      <w:pPr>
        <w:ind w:left="375" w:hanging="375"/>
      </w:pPr>
      <w:rPr>
        <w:rFonts w:cstheme="minorBidi" w:hint="default"/>
        <w:color w:val="auto"/>
      </w:rPr>
    </w:lvl>
    <w:lvl w:ilvl="1">
      <w:start w:val="1"/>
      <w:numFmt w:val="decimal"/>
      <w:lvlText w:val="%1.%2"/>
      <w:lvlJc w:val="left"/>
      <w:pPr>
        <w:ind w:left="375" w:hanging="375"/>
      </w:pPr>
      <w:rPr>
        <w:rFonts w:cstheme="minorBidi" w:hint="default"/>
        <w:color w:val="auto"/>
      </w:rPr>
    </w:lvl>
    <w:lvl w:ilvl="2">
      <w:start w:val="1"/>
      <w:numFmt w:val="decimal"/>
      <w:lvlText w:val="%1.%2.%3"/>
      <w:lvlJc w:val="left"/>
      <w:pPr>
        <w:ind w:left="720" w:hanging="720"/>
      </w:pPr>
      <w:rPr>
        <w:rFonts w:cstheme="minorBidi" w:hint="default"/>
        <w:color w:val="auto"/>
      </w:rPr>
    </w:lvl>
    <w:lvl w:ilvl="3">
      <w:start w:val="1"/>
      <w:numFmt w:val="decimal"/>
      <w:lvlText w:val="%1.%2.%3.%4"/>
      <w:lvlJc w:val="left"/>
      <w:pPr>
        <w:ind w:left="720" w:hanging="72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080" w:hanging="1080"/>
      </w:pPr>
      <w:rPr>
        <w:rFonts w:cstheme="minorBidi" w:hint="default"/>
        <w:color w:val="auto"/>
      </w:rPr>
    </w:lvl>
    <w:lvl w:ilvl="6">
      <w:start w:val="1"/>
      <w:numFmt w:val="decimal"/>
      <w:lvlText w:val="%1.%2.%3.%4.%5.%6.%7"/>
      <w:lvlJc w:val="left"/>
      <w:pPr>
        <w:ind w:left="1440" w:hanging="1440"/>
      </w:pPr>
      <w:rPr>
        <w:rFonts w:cstheme="minorBidi" w:hint="default"/>
        <w:color w:val="auto"/>
      </w:rPr>
    </w:lvl>
    <w:lvl w:ilvl="7">
      <w:start w:val="1"/>
      <w:numFmt w:val="decimal"/>
      <w:lvlText w:val="%1.%2.%3.%4.%5.%6.%7.%8"/>
      <w:lvlJc w:val="left"/>
      <w:pPr>
        <w:ind w:left="1440" w:hanging="1440"/>
      </w:pPr>
      <w:rPr>
        <w:rFonts w:cstheme="minorBidi" w:hint="default"/>
        <w:color w:val="auto"/>
      </w:rPr>
    </w:lvl>
    <w:lvl w:ilvl="8">
      <w:start w:val="1"/>
      <w:numFmt w:val="decimal"/>
      <w:lvlText w:val="%1.%2.%3.%4.%5.%6.%7.%8.%9"/>
      <w:lvlJc w:val="left"/>
      <w:pPr>
        <w:ind w:left="1800" w:hanging="1800"/>
      </w:pPr>
      <w:rPr>
        <w:rFonts w:cstheme="minorBidi" w:hint="default"/>
        <w:color w:val="auto"/>
      </w:rPr>
    </w:lvl>
  </w:abstractNum>
  <w:abstractNum w:abstractNumId="4">
    <w:nsid w:val="7AB54E75"/>
    <w:multiLevelType w:val="multilevel"/>
    <w:tmpl w:val="3D3464F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7410"/>
    <o:shapelayout v:ext="edit">
      <o:idmap v:ext="edit" data="1"/>
    </o:shapelayout>
  </w:hdrShapeDefaults>
  <w:footnotePr>
    <w:footnote w:id="0"/>
    <w:footnote w:id="1"/>
  </w:footnotePr>
  <w:endnotePr>
    <w:endnote w:id="0"/>
    <w:endnote w:id="1"/>
  </w:endnotePr>
  <w:compat/>
  <w:rsids>
    <w:rsidRoot w:val="00C8371A"/>
    <w:rsid w:val="000206FA"/>
    <w:rsid w:val="000357D0"/>
    <w:rsid w:val="00056199"/>
    <w:rsid w:val="000F6833"/>
    <w:rsid w:val="001339AD"/>
    <w:rsid w:val="00200528"/>
    <w:rsid w:val="0022484C"/>
    <w:rsid w:val="00254975"/>
    <w:rsid w:val="002A7EE7"/>
    <w:rsid w:val="00441307"/>
    <w:rsid w:val="00462674"/>
    <w:rsid w:val="004B6AC7"/>
    <w:rsid w:val="00550651"/>
    <w:rsid w:val="005918C6"/>
    <w:rsid w:val="006620BC"/>
    <w:rsid w:val="00695AF4"/>
    <w:rsid w:val="006A5705"/>
    <w:rsid w:val="006E5F75"/>
    <w:rsid w:val="007053E9"/>
    <w:rsid w:val="007411D7"/>
    <w:rsid w:val="007B1445"/>
    <w:rsid w:val="008156F3"/>
    <w:rsid w:val="008C7D66"/>
    <w:rsid w:val="009105EB"/>
    <w:rsid w:val="00990700"/>
    <w:rsid w:val="009E77B6"/>
    <w:rsid w:val="00A13CBF"/>
    <w:rsid w:val="00B01ACA"/>
    <w:rsid w:val="00B16C14"/>
    <w:rsid w:val="00B4317D"/>
    <w:rsid w:val="00C15359"/>
    <w:rsid w:val="00C45586"/>
    <w:rsid w:val="00C66E95"/>
    <w:rsid w:val="00C8371A"/>
    <w:rsid w:val="00D06A2A"/>
    <w:rsid w:val="00D20030"/>
    <w:rsid w:val="00E25E08"/>
    <w:rsid w:val="00E907AE"/>
    <w:rsid w:val="00EC7006"/>
    <w:rsid w:val="00F167A8"/>
    <w:rsid w:val="00F84B2E"/>
    <w:rsid w:val="00FE75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833"/>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837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371A"/>
  </w:style>
  <w:style w:type="paragraph" w:styleId="Rodap">
    <w:name w:val="footer"/>
    <w:basedOn w:val="Normal"/>
    <w:link w:val="RodapChar"/>
    <w:uiPriority w:val="99"/>
    <w:unhideWhenUsed/>
    <w:rsid w:val="00C8371A"/>
    <w:pPr>
      <w:tabs>
        <w:tab w:val="center" w:pos="4252"/>
        <w:tab w:val="right" w:pos="8504"/>
      </w:tabs>
      <w:spacing w:after="0" w:line="240" w:lineRule="auto"/>
    </w:pPr>
  </w:style>
  <w:style w:type="character" w:customStyle="1" w:styleId="RodapChar">
    <w:name w:val="Rodapé Char"/>
    <w:basedOn w:val="Fontepargpadro"/>
    <w:link w:val="Rodap"/>
    <w:uiPriority w:val="99"/>
    <w:rsid w:val="00C8371A"/>
  </w:style>
  <w:style w:type="paragraph" w:styleId="Textodebalo">
    <w:name w:val="Balloon Text"/>
    <w:basedOn w:val="Normal"/>
    <w:link w:val="TextodebaloChar"/>
    <w:uiPriority w:val="99"/>
    <w:semiHidden/>
    <w:unhideWhenUsed/>
    <w:rsid w:val="00C8371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8371A"/>
    <w:rPr>
      <w:rFonts w:ascii="Tahoma" w:hAnsi="Tahoma" w:cs="Tahoma"/>
      <w:sz w:val="16"/>
      <w:szCs w:val="16"/>
    </w:rPr>
  </w:style>
  <w:style w:type="paragraph" w:styleId="PargrafodaLista">
    <w:name w:val="List Paragraph"/>
    <w:basedOn w:val="Normal"/>
    <w:uiPriority w:val="1"/>
    <w:qFormat/>
    <w:rsid w:val="000F6833"/>
    <w:pPr>
      <w:ind w:left="720"/>
      <w:contextualSpacing/>
    </w:pPr>
  </w:style>
  <w:style w:type="table" w:styleId="Tabelacomgrade">
    <w:name w:val="Table Grid"/>
    <w:basedOn w:val="Tabelanormal"/>
    <w:uiPriority w:val="59"/>
    <w:rsid w:val="000F68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F6833"/>
    <w:pPr>
      <w:autoSpaceDE w:val="0"/>
      <w:autoSpaceDN w:val="0"/>
      <w:adjustRightInd w:val="0"/>
      <w:spacing w:after="0" w:line="240" w:lineRule="auto"/>
    </w:pPr>
    <w:rPr>
      <w:rFonts w:ascii="Arial" w:hAnsi="Arial" w:cs="Arial"/>
      <w:color w:val="000000"/>
      <w:sz w:val="24"/>
      <w:szCs w:val="24"/>
    </w:rPr>
  </w:style>
  <w:style w:type="table" w:customStyle="1" w:styleId="lista">
    <w:name w:val="lista"/>
    <w:uiPriority w:val="99"/>
    <w:rsid w:val="000357D0"/>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5865E-BBE9-422A-A8FF-2DCF5ECA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1393</Words>
  <Characters>7526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Convenio</dc:creator>
  <cp:lastModifiedBy>Usuário do Windows</cp:lastModifiedBy>
  <cp:revision>3</cp:revision>
  <cp:lastPrinted>2022-03-15T18:46:00Z</cp:lastPrinted>
  <dcterms:created xsi:type="dcterms:W3CDTF">2022-03-15T18:46:00Z</dcterms:created>
  <dcterms:modified xsi:type="dcterms:W3CDTF">2022-03-15T18:46:00Z</dcterms:modified>
</cp:coreProperties>
</file>