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C66E95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C66E95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C66E95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C66E95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89150E">
        <w:rPr>
          <w:rFonts w:ascii="Times New Roman" w:hAnsi="Times New Roman" w:cs="Times New Roman"/>
          <w:sz w:val="24"/>
          <w:szCs w:val="24"/>
        </w:rPr>
        <w:t>22</w:t>
      </w:r>
      <w:r w:rsidRPr="00C66E95">
        <w:rPr>
          <w:rFonts w:ascii="Times New Roman" w:hAnsi="Times New Roman" w:cs="Times New Roman"/>
          <w:sz w:val="24"/>
          <w:szCs w:val="24"/>
        </w:rPr>
        <w:t>/202</w:t>
      </w:r>
      <w:r w:rsidR="0089150E">
        <w:rPr>
          <w:rFonts w:ascii="Times New Roman" w:hAnsi="Times New Roman" w:cs="Times New Roman"/>
          <w:sz w:val="24"/>
          <w:szCs w:val="24"/>
        </w:rPr>
        <w:t>2</w:t>
      </w:r>
      <w:r w:rsidRPr="00C66E95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95">
        <w:rPr>
          <w:rFonts w:ascii="Times New Roman" w:hAnsi="Times New Roman" w:cs="Times New Roman"/>
          <w:sz w:val="24"/>
          <w:szCs w:val="24"/>
        </w:rPr>
        <w:t xml:space="preserve">a 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89150E">
        <w:rPr>
          <w:rFonts w:ascii="Times New Roman" w:hAnsi="Times New Roman" w:cs="Times New Roman"/>
          <w:b/>
          <w:sz w:val="24"/>
          <w:szCs w:val="24"/>
        </w:rPr>
        <w:t>22</w:t>
      </w:r>
      <w:r w:rsidRPr="00C66E95">
        <w:rPr>
          <w:rFonts w:ascii="Times New Roman" w:hAnsi="Times New Roman" w:cs="Times New Roman"/>
          <w:b/>
          <w:sz w:val="24"/>
          <w:szCs w:val="24"/>
        </w:rPr>
        <w:t>/202</w:t>
      </w:r>
      <w:r w:rsidR="0089150E">
        <w:rPr>
          <w:rFonts w:ascii="Times New Roman" w:hAnsi="Times New Roman" w:cs="Times New Roman"/>
          <w:b/>
          <w:sz w:val="24"/>
          <w:szCs w:val="24"/>
        </w:rPr>
        <w:t>2</w:t>
      </w:r>
      <w:r w:rsidRPr="00C66E95">
        <w:rPr>
          <w:rFonts w:ascii="Times New Roman" w:hAnsi="Times New Roman" w:cs="Times New Roman"/>
          <w:sz w:val="24"/>
          <w:szCs w:val="24"/>
        </w:rPr>
        <w:t>.</w:t>
      </w:r>
    </w:p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3C3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3C3B5D" w:rsidRPr="006C67A6" w:rsidRDefault="003C3B5D" w:rsidP="003C3B5D">
      <w:pPr>
        <w:spacing w:before="120" w:after="12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7D308E">
        <w:rPr>
          <w:rFonts w:ascii="Times New Roman" w:hAnsi="Times New Roman" w:cs="Times New Roman"/>
          <w:b/>
          <w:sz w:val="24"/>
          <w:szCs w:val="24"/>
        </w:rPr>
        <w:t>7.3.6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67A6">
        <w:rPr>
          <w:rFonts w:ascii="Times New Roman" w:hAnsi="Times New Roman" w:cs="Arial"/>
          <w:w w:val="115"/>
          <w:sz w:val="24"/>
        </w:rPr>
        <w:t xml:space="preserve">Alvará Sanitário, licença sanitária ou licença de funcionamento da empresa licitante expedido pela Vigilância Sanitária Estadual ou Municipal ou Autorização de Funcionamento expedida pela ANVISA – Agência Nacional de </w:t>
      </w:r>
      <w:r w:rsidRPr="006C67A6">
        <w:rPr>
          <w:rFonts w:ascii="Times New Roman" w:hAnsi="Times New Roman" w:cs="Arial"/>
          <w:spacing w:val="-1"/>
          <w:w w:val="115"/>
          <w:sz w:val="24"/>
        </w:rPr>
        <w:t>Vigilância</w:t>
      </w:r>
      <w:r w:rsidRPr="006C67A6">
        <w:rPr>
          <w:rFonts w:ascii="Times New Roman" w:hAnsi="Times New Roman" w:cs="Arial"/>
          <w:w w:val="115"/>
          <w:sz w:val="24"/>
        </w:rPr>
        <w:t xml:space="preserve"> Sanitária;</w:t>
      </w:r>
    </w:p>
    <w:p w:rsidR="003C3B5D" w:rsidRDefault="003C3B5D" w:rsidP="003C3B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5D" w:rsidRDefault="003C3B5D" w:rsidP="003C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2376D9" w:rsidRDefault="003C3B5D" w:rsidP="003C3B5D">
      <w:pPr>
        <w:spacing w:before="120" w:after="120" w:line="240" w:lineRule="auto"/>
        <w:jc w:val="both"/>
        <w:rPr>
          <w:rFonts w:ascii="Times New Roman" w:hAnsi="Times New Roman" w:cs="Arial"/>
          <w:w w:val="115"/>
          <w:sz w:val="24"/>
        </w:rPr>
      </w:pPr>
      <w:r w:rsidRPr="002376D9">
        <w:rPr>
          <w:rFonts w:ascii="Times New Roman" w:hAnsi="Times New Roman" w:cs="Times New Roman"/>
          <w:b/>
          <w:sz w:val="24"/>
          <w:szCs w:val="24"/>
        </w:rPr>
        <w:t>7.3.6</w:t>
      </w:r>
      <w:r w:rsidRPr="002376D9">
        <w:rPr>
          <w:rFonts w:ascii="Times New Roman" w:hAnsi="Times New Roman" w:cs="Times New Roman"/>
          <w:sz w:val="24"/>
          <w:szCs w:val="24"/>
        </w:rPr>
        <w:t xml:space="preserve"> - </w:t>
      </w:r>
      <w:r w:rsidRPr="002376D9">
        <w:rPr>
          <w:rFonts w:ascii="Times New Roman" w:hAnsi="Times New Roman" w:cs="Arial"/>
          <w:w w:val="115"/>
          <w:sz w:val="24"/>
        </w:rPr>
        <w:t>Alvará Sanitário, licença sanitária ou licença de funcionamento da empresa licitante expedido pela Vigilância Sanitária Estadual ou Municipal.</w:t>
      </w:r>
    </w:p>
    <w:p w:rsidR="003C3B5D" w:rsidRPr="006C67A6" w:rsidRDefault="003C3B5D" w:rsidP="003C3B5D">
      <w:pPr>
        <w:spacing w:before="120" w:after="12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376D9">
        <w:rPr>
          <w:rFonts w:ascii="Times New Roman" w:hAnsi="Times New Roman" w:cs="Arial"/>
          <w:b/>
          <w:w w:val="115"/>
          <w:sz w:val="24"/>
        </w:rPr>
        <w:t>7.3.7-</w:t>
      </w:r>
      <w:r w:rsidRPr="002376D9">
        <w:rPr>
          <w:rFonts w:ascii="Times New Roman" w:hAnsi="Times New Roman" w:cs="Arial"/>
          <w:w w:val="115"/>
          <w:sz w:val="24"/>
        </w:rPr>
        <w:t xml:space="preserve"> Autorização de Funcionamento expedida pela ANVISA – Agência Nacional de </w:t>
      </w:r>
      <w:r w:rsidRPr="002376D9">
        <w:rPr>
          <w:rFonts w:ascii="Times New Roman" w:hAnsi="Times New Roman" w:cs="Arial"/>
          <w:spacing w:val="-1"/>
          <w:w w:val="115"/>
          <w:sz w:val="24"/>
        </w:rPr>
        <w:t>Vigilância</w:t>
      </w:r>
      <w:r w:rsidRPr="002376D9">
        <w:rPr>
          <w:rFonts w:ascii="Times New Roman" w:hAnsi="Times New Roman" w:cs="Arial"/>
          <w:w w:val="115"/>
          <w:sz w:val="24"/>
        </w:rPr>
        <w:t xml:space="preserve"> Sanitária.</w:t>
      </w:r>
    </w:p>
    <w:p w:rsidR="003C3B5D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C66E95" w:rsidRDefault="003C3B5D" w:rsidP="00B43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17D" w:rsidRPr="00C66E95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5000" w:type="pct"/>
        <w:tblLayout w:type="fixed"/>
        <w:tblLook w:val="04A0"/>
      </w:tblPr>
      <w:tblGrid>
        <w:gridCol w:w="1385"/>
        <w:gridCol w:w="1700"/>
        <w:gridCol w:w="1418"/>
        <w:gridCol w:w="1418"/>
        <w:gridCol w:w="1418"/>
        <w:gridCol w:w="1381"/>
      </w:tblGrid>
      <w:tr w:rsidR="00D0224B" w:rsidRPr="002B0933" w:rsidTr="00D0224B">
        <w:trPr>
          <w:trHeight w:val="315"/>
        </w:trPr>
        <w:tc>
          <w:tcPr>
            <w:tcW w:w="5000" w:type="pct"/>
            <w:gridSpan w:val="6"/>
            <w:noWrap/>
          </w:tcPr>
          <w:p w:rsidR="00D0224B" w:rsidRPr="00975DBE" w:rsidRDefault="00D0224B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RESERVADA PELO ART. 48, III, DA LEI COMPLEMENTAR 147 DE 17 DE AGOSTO DE 2014.</w:t>
            </w:r>
          </w:p>
        </w:tc>
      </w:tr>
      <w:tr w:rsidR="00D0224B" w:rsidRPr="005D6547" w:rsidTr="00D0224B">
        <w:trPr>
          <w:trHeight w:val="315"/>
        </w:trPr>
        <w:tc>
          <w:tcPr>
            <w:tcW w:w="5000" w:type="pct"/>
            <w:gridSpan w:val="6"/>
            <w:noWrap/>
          </w:tcPr>
          <w:p w:rsidR="00D0224B" w:rsidRDefault="00D0224B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224B" w:rsidTr="00D0224B">
        <w:tc>
          <w:tcPr>
            <w:tcW w:w="794" w:type="pct"/>
          </w:tcPr>
          <w:p w:rsidR="00D0224B" w:rsidRPr="00FB4F4B" w:rsidRDefault="00D0224B" w:rsidP="00BB4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0030</w:t>
            </w:r>
          </w:p>
        </w:tc>
        <w:tc>
          <w:tcPr>
            <w:tcW w:w="975" w:type="pct"/>
          </w:tcPr>
          <w:p w:rsidR="00D0224B" w:rsidRPr="00FB4F4B" w:rsidRDefault="00D0224B" w:rsidP="00BB426B">
            <w:pPr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Bateria para medidor de glicose Accu-check(CR 2032) ME/EPP</w:t>
            </w:r>
          </w:p>
        </w:tc>
        <w:tc>
          <w:tcPr>
            <w:tcW w:w="813" w:type="pct"/>
          </w:tcPr>
          <w:p w:rsidR="00D0224B" w:rsidRPr="00FB4F4B" w:rsidRDefault="00D0224B" w:rsidP="00BB4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813" w:type="pct"/>
          </w:tcPr>
          <w:p w:rsidR="00D0224B" w:rsidRPr="00FB4F4B" w:rsidRDefault="00D0224B" w:rsidP="00BB4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5,0000</w:t>
            </w:r>
          </w:p>
        </w:tc>
        <w:tc>
          <w:tcPr>
            <w:tcW w:w="813" w:type="pct"/>
          </w:tcPr>
          <w:p w:rsidR="00D0224B" w:rsidRPr="00FB4F4B" w:rsidRDefault="00D0224B" w:rsidP="00BB4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13,9067</w:t>
            </w:r>
          </w:p>
        </w:tc>
        <w:tc>
          <w:tcPr>
            <w:tcW w:w="792" w:type="pct"/>
          </w:tcPr>
          <w:p w:rsidR="00D0224B" w:rsidRPr="00FB4F4B" w:rsidRDefault="00D0224B" w:rsidP="00D022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69,53</w:t>
            </w:r>
          </w:p>
        </w:tc>
      </w:tr>
    </w:tbl>
    <w:p w:rsidR="00934173" w:rsidRDefault="00934173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73" w:rsidRDefault="00934173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1392"/>
        <w:gridCol w:w="1753"/>
        <w:gridCol w:w="1393"/>
        <w:gridCol w:w="1395"/>
        <w:gridCol w:w="1395"/>
        <w:gridCol w:w="1392"/>
      </w:tblGrid>
      <w:tr w:rsidR="00D0224B" w:rsidRPr="002B0933" w:rsidTr="00D0224B">
        <w:trPr>
          <w:trHeight w:val="315"/>
        </w:trPr>
        <w:tc>
          <w:tcPr>
            <w:tcW w:w="5000" w:type="pct"/>
            <w:gridSpan w:val="6"/>
            <w:noWrap/>
          </w:tcPr>
          <w:p w:rsidR="00D0224B" w:rsidRPr="00975DBE" w:rsidRDefault="00D0224B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 LIVRE CONCORRÊNCIA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0224B" w:rsidRPr="005D6547" w:rsidTr="00D0224B">
        <w:trPr>
          <w:trHeight w:val="315"/>
        </w:trPr>
        <w:tc>
          <w:tcPr>
            <w:tcW w:w="5000" w:type="pct"/>
            <w:gridSpan w:val="6"/>
            <w:noWrap/>
          </w:tcPr>
          <w:p w:rsidR="00D0224B" w:rsidRDefault="00D0224B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224B" w:rsidTr="00D0224B">
        <w:tc>
          <w:tcPr>
            <w:tcW w:w="798" w:type="pct"/>
            <w:vAlign w:val="center"/>
          </w:tcPr>
          <w:p w:rsidR="00D0224B" w:rsidRPr="00FB4F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1005" w:type="pct"/>
            <w:vAlign w:val="center"/>
          </w:tcPr>
          <w:p w:rsidR="00D0224B" w:rsidRPr="00143270" w:rsidRDefault="00143270" w:rsidP="00143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270">
              <w:rPr>
                <w:rFonts w:ascii="Arial" w:hAnsi="Arial" w:cs="Arial"/>
                <w:sz w:val="20"/>
                <w:szCs w:val="20"/>
              </w:rPr>
              <w:t>Bateria para medidor de glicose Accu-</w:t>
            </w:r>
            <w:r w:rsidRPr="00143270">
              <w:rPr>
                <w:rFonts w:ascii="Arial" w:hAnsi="Arial" w:cs="Arial"/>
                <w:sz w:val="20"/>
                <w:szCs w:val="20"/>
              </w:rPr>
              <w:lastRenderedPageBreak/>
              <w:t>check(CR 2032)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pct"/>
            <w:vAlign w:val="center"/>
          </w:tcPr>
          <w:p w:rsidR="00D0224B" w:rsidRPr="00143270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270">
              <w:rPr>
                <w:rFonts w:ascii="Arial" w:hAnsi="Arial" w:cs="Arial"/>
                <w:sz w:val="20"/>
                <w:szCs w:val="20"/>
              </w:rPr>
              <w:lastRenderedPageBreak/>
              <w:t>UN</w:t>
            </w:r>
          </w:p>
        </w:tc>
        <w:tc>
          <w:tcPr>
            <w:tcW w:w="800" w:type="pct"/>
            <w:vAlign w:val="center"/>
          </w:tcPr>
          <w:p w:rsidR="00D0224B" w:rsidRPr="00FB4F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15,0000</w:t>
            </w:r>
          </w:p>
        </w:tc>
        <w:tc>
          <w:tcPr>
            <w:tcW w:w="800" w:type="pct"/>
            <w:vAlign w:val="center"/>
          </w:tcPr>
          <w:p w:rsidR="00D0224B" w:rsidRPr="00FB4F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13,9067</w:t>
            </w:r>
          </w:p>
        </w:tc>
        <w:tc>
          <w:tcPr>
            <w:tcW w:w="798" w:type="pct"/>
            <w:vAlign w:val="center"/>
          </w:tcPr>
          <w:p w:rsidR="00D0224B" w:rsidRPr="00FB4F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208,60</w:t>
            </w:r>
          </w:p>
        </w:tc>
      </w:tr>
      <w:tr w:rsidR="00D0224B" w:rsidTr="00D0224B">
        <w:tc>
          <w:tcPr>
            <w:tcW w:w="798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lastRenderedPageBreak/>
              <w:t>0075</w:t>
            </w:r>
          </w:p>
        </w:tc>
        <w:tc>
          <w:tcPr>
            <w:tcW w:w="1005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GLICOSÍMETRO - Medidor de Glicose, monitor de glicemia para determinação quantitativa dos valores de glicemia em sangue capilar fresco com tiras Accu-CHEK Active.</w:t>
            </w:r>
          </w:p>
        </w:tc>
        <w:tc>
          <w:tcPr>
            <w:tcW w:w="799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800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50,0000</w:t>
            </w:r>
          </w:p>
        </w:tc>
        <w:tc>
          <w:tcPr>
            <w:tcW w:w="800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136,9950</w:t>
            </w:r>
          </w:p>
        </w:tc>
        <w:tc>
          <w:tcPr>
            <w:tcW w:w="798" w:type="pct"/>
            <w:vAlign w:val="center"/>
          </w:tcPr>
          <w:p w:rsidR="00D0224B" w:rsidRPr="00D022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B">
              <w:rPr>
                <w:rFonts w:ascii="Arial" w:hAnsi="Arial" w:cs="Arial"/>
                <w:sz w:val="20"/>
                <w:szCs w:val="20"/>
              </w:rPr>
              <w:t>6.849,75</w:t>
            </w:r>
          </w:p>
        </w:tc>
      </w:tr>
      <w:tr w:rsidR="00D0224B" w:rsidTr="00D0224B">
        <w:tc>
          <w:tcPr>
            <w:tcW w:w="798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0157</w:t>
            </w:r>
          </w:p>
        </w:tc>
        <w:tc>
          <w:tcPr>
            <w:tcW w:w="1005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Tira para Controle de Diabetes - Tiras para Controle do Diabetes compatível com o aparelho Accu-Chek Activ embalagem contendo 50 tiras</w:t>
            </w:r>
          </w:p>
        </w:tc>
        <w:tc>
          <w:tcPr>
            <w:tcW w:w="799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CX C/ 50</w:t>
            </w:r>
          </w:p>
        </w:tc>
        <w:tc>
          <w:tcPr>
            <w:tcW w:w="800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3.750,0000</w:t>
            </w:r>
          </w:p>
        </w:tc>
        <w:tc>
          <w:tcPr>
            <w:tcW w:w="800" w:type="pct"/>
            <w:vAlign w:val="center"/>
          </w:tcPr>
          <w:p w:rsidR="00D0224B" w:rsidRPr="00934173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43,4650</w:t>
            </w:r>
          </w:p>
        </w:tc>
        <w:tc>
          <w:tcPr>
            <w:tcW w:w="798" w:type="pct"/>
            <w:vAlign w:val="center"/>
          </w:tcPr>
          <w:p w:rsidR="00D0224B" w:rsidRPr="00D0224B" w:rsidRDefault="00D0224B" w:rsidP="00D02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24B">
              <w:rPr>
                <w:rFonts w:ascii="Arial" w:hAnsi="Arial" w:cs="Arial"/>
                <w:sz w:val="20"/>
                <w:szCs w:val="20"/>
              </w:rPr>
              <w:t>162.993,75</w:t>
            </w:r>
          </w:p>
        </w:tc>
      </w:tr>
    </w:tbl>
    <w:p w:rsidR="00934173" w:rsidRDefault="00934173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F4B" w:rsidRPr="00C66E95" w:rsidRDefault="00FB4F4B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5EB" w:rsidRPr="00C66E95" w:rsidRDefault="009105EB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E7" w:rsidRPr="00C66E95" w:rsidRDefault="002A7EE7" w:rsidP="0003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EE7" w:rsidRPr="00C66E95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E7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934173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73" w:rsidRPr="00C66E95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1385"/>
        <w:gridCol w:w="1559"/>
        <w:gridCol w:w="1418"/>
        <w:gridCol w:w="1416"/>
        <w:gridCol w:w="1561"/>
        <w:gridCol w:w="1381"/>
      </w:tblGrid>
      <w:tr w:rsidR="00143270" w:rsidRPr="002B0933" w:rsidTr="00143270">
        <w:trPr>
          <w:trHeight w:val="315"/>
        </w:trPr>
        <w:tc>
          <w:tcPr>
            <w:tcW w:w="5000" w:type="pct"/>
            <w:gridSpan w:val="6"/>
            <w:noWrap/>
          </w:tcPr>
          <w:p w:rsidR="00143270" w:rsidRPr="00975DBE" w:rsidRDefault="00143270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RESERVADA PELO ART. 48, III, DA LEI COMPLEMENTAR 147 DE 17 DE AGOSTO DE 2014.</w:t>
            </w:r>
          </w:p>
        </w:tc>
      </w:tr>
      <w:tr w:rsidR="00143270" w:rsidRPr="005D6547" w:rsidTr="00143270">
        <w:trPr>
          <w:trHeight w:val="315"/>
        </w:trPr>
        <w:tc>
          <w:tcPr>
            <w:tcW w:w="5000" w:type="pct"/>
            <w:gridSpan w:val="6"/>
            <w:noWrap/>
          </w:tcPr>
          <w:p w:rsidR="00143270" w:rsidRDefault="00143270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5832" w:rsidTr="00143270">
        <w:tc>
          <w:tcPr>
            <w:tcW w:w="794" w:type="pct"/>
            <w:vAlign w:val="center"/>
          </w:tcPr>
          <w:p w:rsidR="00CC5832" w:rsidRPr="00FB4F4B" w:rsidRDefault="00CC5832" w:rsidP="00143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00</w:t>
            </w:r>
            <w:r w:rsidR="0014327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4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Bateria para medidor de glicose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3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812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Pr="00FB4F4B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95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13,9067</w:t>
            </w:r>
          </w:p>
        </w:tc>
        <w:tc>
          <w:tcPr>
            <w:tcW w:w="792" w:type="pct"/>
            <w:vAlign w:val="center"/>
          </w:tcPr>
          <w:p w:rsidR="00CC5832" w:rsidRPr="00FB4F4B" w:rsidRDefault="00CC5832" w:rsidP="00CC5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69,5335</w:t>
            </w:r>
          </w:p>
        </w:tc>
      </w:tr>
    </w:tbl>
    <w:p w:rsidR="00C66E95" w:rsidRDefault="00C66E95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73" w:rsidRPr="00C66E95" w:rsidRDefault="00934173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1451"/>
        <w:gridCol w:w="1461"/>
        <w:gridCol w:w="1451"/>
        <w:gridCol w:w="1453"/>
        <w:gridCol w:w="1453"/>
        <w:gridCol w:w="1451"/>
      </w:tblGrid>
      <w:tr w:rsidR="00143270" w:rsidRPr="002B0933" w:rsidTr="00143270">
        <w:trPr>
          <w:trHeight w:val="315"/>
        </w:trPr>
        <w:tc>
          <w:tcPr>
            <w:tcW w:w="5000" w:type="pct"/>
            <w:gridSpan w:val="6"/>
            <w:noWrap/>
          </w:tcPr>
          <w:p w:rsidR="00143270" w:rsidRPr="00975DBE" w:rsidRDefault="00143270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 LIVRE CONCORRÊNCIA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43270" w:rsidRPr="005D6547" w:rsidTr="00143270">
        <w:trPr>
          <w:trHeight w:val="315"/>
        </w:trPr>
        <w:tc>
          <w:tcPr>
            <w:tcW w:w="5000" w:type="pct"/>
            <w:gridSpan w:val="6"/>
            <w:noWrap/>
          </w:tcPr>
          <w:p w:rsidR="00143270" w:rsidRDefault="00143270" w:rsidP="00BB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5832" w:rsidTr="00CC5832">
        <w:tc>
          <w:tcPr>
            <w:tcW w:w="832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838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 xml:space="preserve">Bateria para medidor de </w:t>
            </w:r>
            <w:r w:rsidRPr="00FB4F4B">
              <w:rPr>
                <w:rFonts w:ascii="Arial" w:hAnsi="Arial" w:cs="Arial"/>
                <w:sz w:val="20"/>
                <w:szCs w:val="20"/>
              </w:rPr>
              <w:lastRenderedPageBreak/>
              <w:t>glicose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2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lastRenderedPageBreak/>
              <w:t>UN</w:t>
            </w:r>
          </w:p>
        </w:tc>
        <w:tc>
          <w:tcPr>
            <w:tcW w:w="833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15,0000</w:t>
            </w:r>
          </w:p>
        </w:tc>
        <w:tc>
          <w:tcPr>
            <w:tcW w:w="833" w:type="pct"/>
            <w:vAlign w:val="center"/>
          </w:tcPr>
          <w:p w:rsidR="00CC5832" w:rsidRPr="00FB4F4B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4B">
              <w:rPr>
                <w:rFonts w:ascii="Arial" w:hAnsi="Arial" w:cs="Arial"/>
                <w:sz w:val="20"/>
                <w:szCs w:val="20"/>
              </w:rPr>
              <w:t>13,9067</w:t>
            </w:r>
          </w:p>
        </w:tc>
        <w:tc>
          <w:tcPr>
            <w:tcW w:w="832" w:type="pct"/>
            <w:vAlign w:val="center"/>
          </w:tcPr>
          <w:p w:rsidR="00CC5832" w:rsidRPr="00FB4F4B" w:rsidRDefault="00CC5832" w:rsidP="00CC5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208,60</w:t>
            </w:r>
          </w:p>
        </w:tc>
      </w:tr>
      <w:tr w:rsidR="00CC5832" w:rsidTr="00CC5832">
        <w:tc>
          <w:tcPr>
            <w:tcW w:w="832" w:type="pct"/>
          </w:tcPr>
          <w:p w:rsidR="00CC5832" w:rsidRPr="00934173" w:rsidRDefault="00CC5832" w:rsidP="00BB4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lastRenderedPageBreak/>
              <w:t>0157</w:t>
            </w:r>
          </w:p>
        </w:tc>
        <w:tc>
          <w:tcPr>
            <w:tcW w:w="838" w:type="pct"/>
          </w:tcPr>
          <w:p w:rsidR="00CC5832" w:rsidRDefault="00CC5832" w:rsidP="00934173">
            <w:pPr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t>Tira para Controle de Diabetes - Tiras para Controle do 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34173">
              <w:rPr>
                <w:rFonts w:ascii="Arial" w:hAnsi="Arial" w:cs="Arial"/>
                <w:sz w:val="20"/>
                <w:szCs w:val="20"/>
              </w:rPr>
              <w:t>embalagem contendo 50 tiras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5832" w:rsidRDefault="00CC5832" w:rsidP="00440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Obs.: Deverá ser fornecido </w:t>
            </w:r>
            <w:r w:rsidRPr="00934173">
              <w:rPr>
                <w:rFonts w:ascii="Arial" w:hAnsi="Arial" w:cs="Arial"/>
                <w:sz w:val="20"/>
                <w:szCs w:val="20"/>
              </w:rPr>
              <w:t>aparelho Medidor de Glicose, monitor de glicemia para determinação quantitativa dos valores de glicemia em sangue capilar fresco</w:t>
            </w:r>
            <w:r>
              <w:rPr>
                <w:rFonts w:ascii="Arial" w:hAnsi="Arial" w:cs="Arial"/>
                <w:sz w:val="20"/>
                <w:szCs w:val="20"/>
              </w:rPr>
              <w:t xml:space="preserve"> em regime de comodato ou doação, na quantidade de um aparelho por cada 800 tiras, totalizando 235 aparelhos demandados pelo Município.</w:t>
            </w:r>
          </w:p>
          <w:p w:rsidR="00CC5832" w:rsidRDefault="00CC5832" w:rsidP="00440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Referência: Accu chek Active ou outro de igual qualidade ou superior. </w:t>
            </w:r>
          </w:p>
          <w:p w:rsidR="00CC5832" w:rsidRPr="00934173" w:rsidRDefault="00CC5832" w:rsidP="00440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aparelhos fornecidos no regime de comodato ou doação deverão ser compatíveis com as tiras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licitadas.  </w:t>
            </w:r>
          </w:p>
        </w:tc>
        <w:tc>
          <w:tcPr>
            <w:tcW w:w="832" w:type="pct"/>
            <w:vAlign w:val="center"/>
          </w:tcPr>
          <w:p w:rsidR="00CC5832" w:rsidRPr="00934173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173">
              <w:rPr>
                <w:rFonts w:ascii="Arial" w:hAnsi="Arial" w:cs="Arial"/>
                <w:sz w:val="20"/>
                <w:szCs w:val="20"/>
              </w:rPr>
              <w:lastRenderedPageBreak/>
              <w:t>CX C/ 50</w:t>
            </w:r>
          </w:p>
        </w:tc>
        <w:tc>
          <w:tcPr>
            <w:tcW w:w="833" w:type="pct"/>
            <w:vAlign w:val="center"/>
          </w:tcPr>
          <w:p w:rsidR="00CC5832" w:rsidRPr="00934173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</w:t>
            </w:r>
            <w:r w:rsidRPr="00934173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  <w:tc>
          <w:tcPr>
            <w:tcW w:w="833" w:type="pct"/>
            <w:vAlign w:val="center"/>
          </w:tcPr>
          <w:p w:rsidR="00CC5832" w:rsidRPr="00934173" w:rsidRDefault="00CC5832" w:rsidP="0044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43,4650</w:t>
            </w:r>
          </w:p>
        </w:tc>
        <w:tc>
          <w:tcPr>
            <w:tcW w:w="832" w:type="pct"/>
            <w:vAlign w:val="center"/>
          </w:tcPr>
          <w:p w:rsidR="00CC5832" w:rsidRDefault="00CC5832" w:rsidP="00CC5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163.428,40</w:t>
            </w:r>
          </w:p>
        </w:tc>
      </w:tr>
    </w:tbl>
    <w:p w:rsidR="00C66E95" w:rsidRPr="00C66E95" w:rsidRDefault="00C66E95" w:rsidP="00C66E95">
      <w:pPr>
        <w:rPr>
          <w:rFonts w:ascii="Times New Roman" w:hAnsi="Times New Roman" w:cs="Times New Roman"/>
          <w:b/>
          <w:sz w:val="24"/>
          <w:szCs w:val="24"/>
        </w:rPr>
      </w:pPr>
    </w:p>
    <w:p w:rsidR="00143270" w:rsidRDefault="00143270" w:rsidP="0014327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Suprimir o item 75 do</w:t>
      </w:r>
      <w:r w:rsidR="006B1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4C6">
        <w:rPr>
          <w:rFonts w:ascii="Times New Roman" w:hAnsi="Times New Roman" w:cs="Times New Roman"/>
          <w:b/>
          <w:sz w:val="24"/>
          <w:szCs w:val="24"/>
        </w:rPr>
        <w:t>ANEXO I</w:t>
      </w:r>
      <w:r w:rsidR="006B1D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C64C6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  <w:r w:rsidR="006B1D98">
        <w:rPr>
          <w:rFonts w:ascii="Times New Roman" w:hAnsi="Times New Roman" w:cs="Times New Roman"/>
          <w:b/>
          <w:sz w:val="24"/>
          <w:szCs w:val="24"/>
        </w:rPr>
        <w:t>):</w:t>
      </w:r>
    </w:p>
    <w:p w:rsidR="00143270" w:rsidRDefault="00143270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III</w:t>
      </w:r>
      <w:r w:rsidRPr="00880836">
        <w:rPr>
          <w:rFonts w:ascii="Times New Roman" w:hAnsi="Times New Roman"/>
          <w:b/>
          <w:sz w:val="24"/>
        </w:rPr>
        <w:t xml:space="preserve"> – DA ESPECIFICAÇÃO DO OBJETO</w:t>
      </w:r>
      <w:r>
        <w:rPr>
          <w:rFonts w:ascii="Times New Roman" w:hAnsi="Times New Roman"/>
          <w:b/>
          <w:sz w:val="24"/>
        </w:rPr>
        <w:t xml:space="preserve"> E DO VALOR ESTIMADO</w:t>
      </w:r>
      <w:r w:rsidRPr="00880836">
        <w:rPr>
          <w:rFonts w:ascii="Times New Roman" w:hAnsi="Times New Roman"/>
          <w:b/>
          <w:sz w:val="24"/>
        </w:rPr>
        <w:t>:</w:t>
      </w:r>
    </w:p>
    <w:p w:rsidR="006B1D98" w:rsidRPr="00153736" w:rsidRDefault="006B1D98" w:rsidP="006B1D98">
      <w:pPr>
        <w:spacing w:before="120" w:after="120"/>
        <w:jc w:val="both"/>
        <w:rPr>
          <w:rFonts w:ascii="Times New Roman" w:hAnsi="Times New Roman"/>
          <w:sz w:val="24"/>
        </w:rPr>
      </w:pPr>
      <w:r w:rsidRPr="00153736">
        <w:rPr>
          <w:rFonts w:ascii="Times New Roman" w:hAnsi="Times New Roman"/>
          <w:b/>
          <w:sz w:val="24"/>
        </w:rPr>
        <w:t xml:space="preserve">3.1 – </w:t>
      </w:r>
      <w:r w:rsidRPr="00153736">
        <w:rPr>
          <w:rFonts w:ascii="Times New Roman" w:hAnsi="Times New Roman"/>
          <w:sz w:val="24"/>
        </w:rPr>
        <w:t>O licitante vencedor, após a assinatura do contrato, deverá executar o objeto contratado sob as especificações constantes abaixo.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644"/>
      </w:tblGrid>
      <w:tr w:rsidR="006B1D98" w:rsidRPr="002B0933" w:rsidTr="007A6A3C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98" w:rsidRPr="00975DBE" w:rsidRDefault="006B1D98" w:rsidP="007A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 LIVRE CONCORRÊNCIA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1D98" w:rsidRPr="005D6547" w:rsidTr="007A6A3C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98" w:rsidRPr="00975DBE" w:rsidRDefault="006B1D98" w:rsidP="007A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  <w:r w:rsidRPr="0097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B1D98" w:rsidRDefault="006B1D98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B1D98" w:rsidRDefault="006B1D98" w:rsidP="006B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C66E95">
        <w:rPr>
          <w:rFonts w:ascii="Times New Roman" w:hAnsi="Times New Roman" w:cs="Times New Roman"/>
          <w:b/>
          <w:sz w:val="24"/>
          <w:szCs w:val="24"/>
        </w:rPr>
        <w:t>:</w:t>
      </w:r>
    </w:p>
    <w:p w:rsidR="006B1D98" w:rsidRPr="006B1D98" w:rsidRDefault="006B1D98" w:rsidP="00143270">
      <w:pPr>
        <w:spacing w:before="120"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Item 75 </w:t>
      </w:r>
      <w:r w:rsidRPr="006B1D98">
        <w:rPr>
          <w:rFonts w:ascii="Times New Roman" w:hAnsi="Times New Roman"/>
          <w:b/>
          <w:sz w:val="24"/>
        </w:rPr>
        <w:t>– Suprimido.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B1D98" w:rsidRDefault="006B1D98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143270" w:rsidRPr="00880836" w:rsidRDefault="00143270" w:rsidP="00143270">
      <w:pPr>
        <w:spacing w:before="120" w:after="120"/>
        <w:jc w:val="both"/>
        <w:rPr>
          <w:rFonts w:ascii="Times New Roman" w:hAnsi="Times New Roman"/>
          <w:b/>
          <w:sz w:val="24"/>
        </w:rPr>
      </w:pPr>
    </w:p>
    <w:p w:rsidR="00143270" w:rsidRDefault="00143270" w:rsidP="0014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70" w:rsidRPr="000C64C6" w:rsidRDefault="00143270" w:rsidP="0014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E7" w:rsidRPr="00C66E95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C66E95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C66E95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95">
        <w:rPr>
          <w:rFonts w:ascii="Times New Roman" w:hAnsi="Times New Roman" w:cs="Times New Roman"/>
          <w:sz w:val="24"/>
          <w:szCs w:val="24"/>
        </w:rPr>
        <w:t>A data para realização da sessão pública para recebimento das propostas será no dia</w:t>
      </w:r>
      <w:r w:rsidR="00C66E95">
        <w:rPr>
          <w:rFonts w:ascii="Times New Roman" w:hAnsi="Times New Roman" w:cs="Times New Roman"/>
          <w:sz w:val="24"/>
          <w:szCs w:val="24"/>
        </w:rPr>
        <w:t xml:space="preserve"> </w:t>
      </w:r>
      <w:r w:rsidR="00663DD9">
        <w:rPr>
          <w:rFonts w:ascii="Times New Roman" w:hAnsi="Times New Roman" w:cs="Times New Roman"/>
          <w:b/>
          <w:sz w:val="24"/>
          <w:szCs w:val="24"/>
        </w:rPr>
        <w:t>16</w:t>
      </w:r>
      <w:r w:rsidR="00C66E95">
        <w:rPr>
          <w:rFonts w:ascii="Times New Roman" w:hAnsi="Times New Roman" w:cs="Times New Roman"/>
          <w:sz w:val="24"/>
          <w:szCs w:val="24"/>
        </w:rPr>
        <w:t xml:space="preserve"> 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9150E">
        <w:rPr>
          <w:rFonts w:ascii="Times New Roman" w:hAnsi="Times New Roman" w:cs="Times New Roman"/>
          <w:b/>
          <w:sz w:val="24"/>
          <w:szCs w:val="24"/>
        </w:rPr>
        <w:t>MAIO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89150E">
        <w:rPr>
          <w:rFonts w:ascii="Times New Roman" w:hAnsi="Times New Roman" w:cs="Times New Roman"/>
          <w:b/>
          <w:sz w:val="24"/>
          <w:szCs w:val="24"/>
        </w:rPr>
        <w:t>2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, ÀS </w:t>
      </w:r>
      <w:r w:rsidR="0089150E">
        <w:rPr>
          <w:rFonts w:ascii="Times New Roman" w:hAnsi="Times New Roman" w:cs="Times New Roman"/>
          <w:b/>
          <w:sz w:val="24"/>
          <w:szCs w:val="24"/>
        </w:rPr>
        <w:t>10</w:t>
      </w:r>
      <w:r w:rsidR="00C66E95">
        <w:rPr>
          <w:rFonts w:ascii="Times New Roman" w:hAnsi="Times New Roman" w:cs="Times New Roman"/>
          <w:b/>
          <w:sz w:val="24"/>
          <w:szCs w:val="24"/>
        </w:rPr>
        <w:t>H (</w:t>
      </w:r>
      <w:r w:rsidR="0089150E">
        <w:rPr>
          <w:rFonts w:ascii="Times New Roman" w:hAnsi="Times New Roman" w:cs="Times New Roman"/>
          <w:b/>
          <w:sz w:val="24"/>
          <w:szCs w:val="24"/>
        </w:rPr>
        <w:t>DEZ</w:t>
      </w:r>
      <w:r w:rsidR="00C66E95">
        <w:rPr>
          <w:rFonts w:ascii="Times New Roman" w:hAnsi="Times New Roman" w:cs="Times New Roman"/>
          <w:b/>
          <w:sz w:val="24"/>
          <w:szCs w:val="24"/>
        </w:rPr>
        <w:t xml:space="preserve"> HORAS)</w:t>
      </w:r>
      <w:r w:rsidRPr="00C6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95">
        <w:rPr>
          <w:rFonts w:ascii="Times New Roman" w:hAnsi="Times New Roman" w:cs="Times New Roman"/>
          <w:sz w:val="24"/>
          <w:szCs w:val="24"/>
        </w:rPr>
        <w:t xml:space="preserve">no Paço Municipal, na Rua Prefeito Waldomiro Osório Rodrigues, </w:t>
      </w:r>
      <w:r w:rsidR="0089150E">
        <w:rPr>
          <w:rFonts w:ascii="Times New Roman" w:hAnsi="Times New Roman" w:cs="Times New Roman"/>
          <w:sz w:val="24"/>
          <w:szCs w:val="24"/>
        </w:rPr>
        <w:t>50</w:t>
      </w:r>
      <w:r w:rsidRPr="00C66E95">
        <w:rPr>
          <w:rFonts w:ascii="Times New Roman" w:hAnsi="Times New Roman" w:cs="Times New Roman"/>
          <w:sz w:val="24"/>
          <w:szCs w:val="24"/>
        </w:rPr>
        <w:t>, Cachoeira, Santa Rita de Jacutinga – MG. Maiores informações tel (32) 3291-1680, email: licitacao@srjacutinga.mg.gov.br.</w:t>
      </w:r>
    </w:p>
    <w:sectPr w:rsidR="00B16C14" w:rsidRPr="00C66E95" w:rsidSect="0044130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D3" w:rsidRDefault="00C452D3" w:rsidP="00C8371A">
      <w:pPr>
        <w:spacing w:after="0" w:line="240" w:lineRule="auto"/>
      </w:pPr>
      <w:r>
        <w:separator/>
      </w:r>
    </w:p>
  </w:endnote>
  <w:endnote w:type="continuationSeparator" w:id="1">
    <w:p w:rsidR="00C452D3" w:rsidRDefault="00C452D3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D3" w:rsidRDefault="00C452D3" w:rsidP="00C8371A">
      <w:pPr>
        <w:spacing w:after="0" w:line="240" w:lineRule="auto"/>
      </w:pPr>
      <w:r>
        <w:separator/>
      </w:r>
    </w:p>
  </w:footnote>
  <w:footnote w:type="continuationSeparator" w:id="1">
    <w:p w:rsidR="00C452D3" w:rsidRDefault="00C452D3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702F06" w:rsidRPr="00702F0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0E4CEA"/>
    <w:multiLevelType w:val="multilevel"/>
    <w:tmpl w:val="EC8C45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56199"/>
    <w:rsid w:val="000A2A6C"/>
    <w:rsid w:val="000D5A45"/>
    <w:rsid w:val="000F6833"/>
    <w:rsid w:val="00143270"/>
    <w:rsid w:val="00200528"/>
    <w:rsid w:val="0022484C"/>
    <w:rsid w:val="002376D9"/>
    <w:rsid w:val="002A7EE7"/>
    <w:rsid w:val="003C3B5D"/>
    <w:rsid w:val="00412EDD"/>
    <w:rsid w:val="00440247"/>
    <w:rsid w:val="00441307"/>
    <w:rsid w:val="00462674"/>
    <w:rsid w:val="00550651"/>
    <w:rsid w:val="005918C6"/>
    <w:rsid w:val="006620BC"/>
    <w:rsid w:val="00663DD9"/>
    <w:rsid w:val="00695AF4"/>
    <w:rsid w:val="006A5705"/>
    <w:rsid w:val="006B1D98"/>
    <w:rsid w:val="00702F06"/>
    <w:rsid w:val="007053E9"/>
    <w:rsid w:val="0089150E"/>
    <w:rsid w:val="008C7D66"/>
    <w:rsid w:val="009024F3"/>
    <w:rsid w:val="009105EB"/>
    <w:rsid w:val="00934173"/>
    <w:rsid w:val="009E77B6"/>
    <w:rsid w:val="00B01ACA"/>
    <w:rsid w:val="00B16C14"/>
    <w:rsid w:val="00B209FA"/>
    <w:rsid w:val="00B4317D"/>
    <w:rsid w:val="00C32744"/>
    <w:rsid w:val="00C452D3"/>
    <w:rsid w:val="00C66E95"/>
    <w:rsid w:val="00C8371A"/>
    <w:rsid w:val="00CC5832"/>
    <w:rsid w:val="00D0224B"/>
    <w:rsid w:val="00D20030"/>
    <w:rsid w:val="00E25E08"/>
    <w:rsid w:val="00E907AE"/>
    <w:rsid w:val="00EC7006"/>
    <w:rsid w:val="00FB4F4B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9635-FD53-4A73-AD09-99151EDB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2</cp:revision>
  <dcterms:created xsi:type="dcterms:W3CDTF">2022-05-02T18:44:00Z</dcterms:created>
  <dcterms:modified xsi:type="dcterms:W3CDTF">2022-05-02T18:44:00Z</dcterms:modified>
</cp:coreProperties>
</file>